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6" w:rsidRPr="00CF0EA5" w:rsidRDefault="003A1166" w:rsidP="003A1166">
      <w:pPr>
        <w:pStyle w:val="a5"/>
        <w:widowControl/>
        <w:rPr>
          <w:lang w:val="uk-UA"/>
        </w:rPr>
      </w:pPr>
      <w:r w:rsidRPr="00CF0EA5">
        <w:rPr>
          <w:lang w:val="uk-UA"/>
        </w:rPr>
        <w:t xml:space="preserve">Аналітична довідка щодо результатів оцінки </w:t>
      </w:r>
      <w:r w:rsidRPr="00CF0EA5">
        <w:rPr>
          <w:rFonts w:eastAsia="+mj-ea"/>
          <w:lang w:val="uk-UA"/>
        </w:rPr>
        <w:t>рівня доброчесності запровадження ПЦМ у місцевих бюджетах</w:t>
      </w:r>
      <w:r w:rsidRPr="00CF0EA5">
        <w:rPr>
          <w:bCs w:val="0"/>
          <w:lang w:val="uk-UA"/>
        </w:rPr>
        <w:t xml:space="preserve"> (станом на 1.06.2017) по </w:t>
      </w:r>
      <w:r w:rsidRPr="00CF0EA5">
        <w:rPr>
          <w:lang w:val="uk-UA"/>
        </w:rPr>
        <w:t>місько</w:t>
      </w:r>
      <w:r w:rsidR="001E6D29" w:rsidRPr="00CF0EA5">
        <w:rPr>
          <w:lang w:val="uk-UA"/>
        </w:rPr>
        <w:t>му</w:t>
      </w:r>
      <w:r w:rsidRPr="00CF0EA5">
        <w:rPr>
          <w:lang w:val="uk-UA"/>
        </w:rPr>
        <w:t xml:space="preserve">  бюджету Баштанської міської ради на 2017 рік</w:t>
      </w:r>
    </w:p>
    <w:p w:rsidR="003A1166" w:rsidRPr="00CF0EA5" w:rsidRDefault="003A1166" w:rsidP="003C37F5">
      <w:pPr>
        <w:spacing w:after="0" w:line="240" w:lineRule="auto"/>
        <w:jc w:val="center"/>
        <w:rPr>
          <w:rFonts w:ascii="Times New Roman" w:hAnsi="Times New Roman"/>
          <w:b/>
          <w:lang w:val="uk-UA"/>
        </w:rPr>
      </w:pPr>
    </w:p>
    <w:p w:rsidR="003A1166" w:rsidRPr="00CF0EA5" w:rsidRDefault="003A1166" w:rsidP="003C37F5">
      <w:pPr>
        <w:spacing w:after="0" w:line="240" w:lineRule="auto"/>
        <w:jc w:val="center"/>
        <w:rPr>
          <w:rFonts w:ascii="Times New Roman" w:hAnsi="Times New Roman"/>
          <w:b/>
          <w:lang w:val="uk-UA"/>
        </w:rPr>
      </w:pPr>
    </w:p>
    <w:p w:rsidR="003A1166" w:rsidRPr="00CF0EA5" w:rsidRDefault="003A1166" w:rsidP="003C37F5">
      <w:pPr>
        <w:spacing w:after="0" w:line="240" w:lineRule="auto"/>
        <w:jc w:val="center"/>
        <w:rPr>
          <w:rFonts w:ascii="Times New Roman" w:hAnsi="Times New Roman"/>
          <w:b/>
          <w:lang w:val="uk-UA"/>
        </w:rPr>
      </w:pPr>
      <w:r w:rsidRPr="00CF0EA5">
        <w:rPr>
          <w:rFonts w:ascii="Times New Roman" w:hAnsi="Times New Roman"/>
          <w:b/>
          <w:lang w:val="uk-UA"/>
        </w:rPr>
        <w:t xml:space="preserve">Преамбула. </w:t>
      </w:r>
    </w:p>
    <w:p w:rsidR="001E6D29" w:rsidRPr="00CF0EA5" w:rsidRDefault="001E6D29" w:rsidP="00811F9C">
      <w:pPr>
        <w:spacing w:after="0" w:line="240" w:lineRule="auto"/>
        <w:ind w:firstLine="567"/>
        <w:jc w:val="both"/>
        <w:rPr>
          <w:rFonts w:ascii="Times New Roman" w:hAnsi="Times New Roman"/>
          <w:lang w:val="uk-UA"/>
        </w:rPr>
      </w:pPr>
      <w:r w:rsidRPr="00CF0EA5">
        <w:rPr>
          <w:rFonts w:ascii="Times New Roman" w:hAnsi="Times New Roman"/>
          <w:lang w:val="uk-UA"/>
        </w:rPr>
        <w:t xml:space="preserve">Баштанська ОТГ створена наприкінці в 2016р . </w:t>
      </w:r>
      <w:r w:rsidRPr="00CF0EA5">
        <w:rPr>
          <w:rFonts w:ascii="Times New Roman" w:hAnsi="Times New Roman"/>
          <w:color w:val="333333"/>
          <w:shd w:val="clear" w:color="auto" w:fill="FFFFFF"/>
          <w:lang w:val="uk-UA"/>
        </w:rPr>
        <w:t xml:space="preserve">28.12.2016року відбулась перша сесія Баштанської міської ради об’єднаної територіальної громади, на якому в низці інших було затверджено </w:t>
      </w:r>
      <w:r w:rsidRPr="00CF0EA5">
        <w:rPr>
          <w:rFonts w:ascii="Times New Roman" w:hAnsi="Times New Roman"/>
          <w:lang w:val="uk-UA"/>
        </w:rPr>
        <w:t xml:space="preserve">Рішення про міський бюджет Баштанської  міської ради  на 2017 рік. </w:t>
      </w:r>
    </w:p>
    <w:p w:rsidR="001E6D29" w:rsidRPr="00CF0EA5" w:rsidRDefault="001E6D29" w:rsidP="003C37F5">
      <w:pPr>
        <w:spacing w:after="0" w:line="240" w:lineRule="auto"/>
        <w:jc w:val="center"/>
        <w:rPr>
          <w:rFonts w:ascii="Times New Roman" w:hAnsi="Times New Roman"/>
          <w:lang w:val="uk-UA"/>
        </w:rPr>
      </w:pPr>
    </w:p>
    <w:p w:rsidR="00552B1A" w:rsidRDefault="001E6D29" w:rsidP="00CF0EA5">
      <w:pPr>
        <w:pStyle w:val="a4"/>
        <w:numPr>
          <w:ilvl w:val="0"/>
          <w:numId w:val="3"/>
        </w:numPr>
        <w:spacing w:after="0" w:line="240" w:lineRule="auto"/>
        <w:jc w:val="both"/>
        <w:rPr>
          <w:rFonts w:ascii="Times New Roman" w:hAnsi="Times New Roman"/>
          <w:lang w:val="uk-UA"/>
        </w:rPr>
      </w:pPr>
      <w:r w:rsidRPr="00082B94">
        <w:rPr>
          <w:rFonts w:ascii="Times New Roman" w:hAnsi="Times New Roman"/>
          <w:lang w:val="uk-UA"/>
        </w:rPr>
        <w:t xml:space="preserve">Інструкція </w:t>
      </w:r>
      <w:r w:rsidR="00811F9C" w:rsidRPr="00082B94">
        <w:rPr>
          <w:rFonts w:ascii="Times New Roman" w:hAnsi="Times New Roman"/>
          <w:lang w:val="uk-UA"/>
        </w:rPr>
        <w:t xml:space="preserve">щодо заповнення форм бюджетного запиту міського бюджету на плановий рік та наступні за плановим два бюджетні періоди </w:t>
      </w:r>
      <w:r w:rsidRPr="00082B94">
        <w:rPr>
          <w:rFonts w:ascii="Times New Roman" w:hAnsi="Times New Roman"/>
          <w:lang w:val="uk-UA"/>
        </w:rPr>
        <w:t xml:space="preserve">була затверджена </w:t>
      </w:r>
      <w:r w:rsidR="00811F9C" w:rsidRPr="00082B94">
        <w:rPr>
          <w:rFonts w:ascii="Times New Roman" w:hAnsi="Times New Roman"/>
          <w:lang w:val="uk-UA"/>
        </w:rPr>
        <w:t>тільки 15.06.2017</w:t>
      </w:r>
      <w:r w:rsidR="00D5701A" w:rsidRPr="00082B94">
        <w:rPr>
          <w:rFonts w:ascii="Times New Roman" w:hAnsi="Times New Roman"/>
          <w:lang w:val="uk-UA"/>
        </w:rPr>
        <w:t xml:space="preserve">. Зміст інструкції повністю відповідає нормам діючого законодавства по ПЦМ. </w:t>
      </w:r>
      <w:r w:rsidR="00552B1A" w:rsidRPr="00082B94">
        <w:rPr>
          <w:rFonts w:ascii="Times New Roman" w:hAnsi="Times New Roman"/>
          <w:lang w:val="uk-UA"/>
        </w:rPr>
        <w:t>Бюджетні запити на 2017р не надані.</w:t>
      </w:r>
    </w:p>
    <w:p w:rsidR="001E6D29" w:rsidRPr="00082B94" w:rsidRDefault="00D5701A" w:rsidP="00CF0EA5">
      <w:pPr>
        <w:pStyle w:val="a4"/>
        <w:numPr>
          <w:ilvl w:val="0"/>
          <w:numId w:val="3"/>
        </w:numPr>
        <w:spacing w:after="0" w:line="240" w:lineRule="auto"/>
        <w:jc w:val="both"/>
        <w:rPr>
          <w:rFonts w:ascii="Times New Roman" w:hAnsi="Times New Roman"/>
          <w:lang w:val="uk-UA"/>
        </w:rPr>
      </w:pPr>
      <w:r w:rsidRPr="00082B94">
        <w:rPr>
          <w:rFonts w:ascii="Times New Roman" w:hAnsi="Times New Roman"/>
          <w:lang w:val="uk-UA"/>
        </w:rPr>
        <w:t>Неузгодженість термінів подання бюджетних запитів за та затвердження Інструкції та не дозволяє оцінити відповідність показника БЗ «</w:t>
      </w:r>
      <w:r w:rsidRPr="00082B94">
        <w:rPr>
          <w:rFonts w:ascii="Times New Roman" w:hAnsi="Times New Roman"/>
          <w:i/>
          <w:snapToGrid w:val="0"/>
          <w:lang w:val="uk-UA"/>
        </w:rPr>
        <w:t xml:space="preserve">Надходження для виконання бюджетної програми» </w:t>
      </w:r>
      <w:r w:rsidRPr="00082B94">
        <w:rPr>
          <w:rFonts w:ascii="Times New Roman" w:hAnsi="Times New Roman"/>
          <w:snapToGrid w:val="0"/>
          <w:lang w:val="uk-UA"/>
        </w:rPr>
        <w:t xml:space="preserve">та показника паспорту бюджетної програми </w:t>
      </w:r>
      <w:r w:rsidRPr="00082B94">
        <w:rPr>
          <w:rFonts w:ascii="Times New Roman" w:hAnsi="Times New Roman"/>
          <w:lang w:val="uk-UA"/>
        </w:rPr>
        <w:t>«</w:t>
      </w:r>
      <w:r w:rsidRPr="00082B94">
        <w:rPr>
          <w:rFonts w:ascii="Times New Roman" w:hAnsi="Times New Roman"/>
          <w:i/>
          <w:lang w:val="uk-UA" w:eastAsia="uk-UA"/>
        </w:rPr>
        <w:t>о</w:t>
      </w:r>
      <w:r w:rsidRPr="00082B94">
        <w:rPr>
          <w:rFonts w:ascii="Times New Roman" w:hAnsi="Times New Roman"/>
          <w:i/>
          <w:lang w:val="uk-UA"/>
        </w:rPr>
        <w:t>бсяг бюджетних призначень/бюджетних асигнувань</w:t>
      </w:r>
      <w:r w:rsidRPr="00082B94">
        <w:rPr>
          <w:rFonts w:ascii="Times New Roman" w:hAnsi="Times New Roman"/>
          <w:lang w:val="uk-UA"/>
        </w:rPr>
        <w:t>».</w:t>
      </w:r>
      <w:r w:rsidRPr="00082B94">
        <w:rPr>
          <w:rFonts w:ascii="Times New Roman" w:hAnsi="Times New Roman"/>
          <w:i/>
          <w:lang w:val="uk-UA"/>
        </w:rPr>
        <w:t xml:space="preserve">  </w:t>
      </w:r>
      <w:r w:rsidRPr="00082B94">
        <w:rPr>
          <w:rFonts w:ascii="Times New Roman" w:hAnsi="Times New Roman"/>
          <w:lang w:val="uk-UA"/>
        </w:rPr>
        <w:t xml:space="preserve"> Даний факт можна пояснити дуже швидкоплинним процесом створення нової адміністративно-територіальної одиниці - Баштанської ОТГ як суб’єкта публічного права.  </w:t>
      </w:r>
    </w:p>
    <w:p w:rsidR="00CF0EA5" w:rsidRPr="00CF0EA5" w:rsidRDefault="00811F9C" w:rsidP="00CF0EA5">
      <w:pPr>
        <w:pStyle w:val="a4"/>
        <w:numPr>
          <w:ilvl w:val="0"/>
          <w:numId w:val="3"/>
        </w:numPr>
        <w:spacing w:after="0" w:line="240" w:lineRule="auto"/>
        <w:jc w:val="both"/>
        <w:rPr>
          <w:rFonts w:ascii="Times New Roman" w:hAnsi="Times New Roman"/>
          <w:highlight w:val="yellow"/>
          <w:lang w:val="uk-UA"/>
        </w:rPr>
      </w:pPr>
      <w:r w:rsidRPr="00082B94">
        <w:rPr>
          <w:rFonts w:ascii="Times New Roman" w:hAnsi="Times New Roman"/>
          <w:lang w:val="uk-UA"/>
        </w:rPr>
        <w:t>Розпорядженням міського голови затверджено 22 п</w:t>
      </w:r>
      <w:r w:rsidR="001E6D29" w:rsidRPr="00082B94">
        <w:rPr>
          <w:rFonts w:ascii="Times New Roman" w:hAnsi="Times New Roman"/>
          <w:lang w:val="uk-UA"/>
        </w:rPr>
        <w:t xml:space="preserve">аспорти бюджетних програм </w:t>
      </w:r>
      <w:r w:rsidRPr="00082B94">
        <w:rPr>
          <w:rFonts w:ascii="Times New Roman" w:hAnsi="Times New Roman"/>
          <w:lang w:val="uk-UA"/>
        </w:rPr>
        <w:t>міського бюджету на 2017р. Паспорти бюджетних програм на офіційній сторінці міської ради не</w:t>
      </w:r>
      <w:r w:rsidR="001E6D29" w:rsidRPr="00082B94">
        <w:rPr>
          <w:rFonts w:ascii="Times New Roman" w:hAnsi="Times New Roman"/>
          <w:lang w:val="uk-UA"/>
        </w:rPr>
        <w:t xml:space="preserve"> опубліковані</w:t>
      </w:r>
      <w:r w:rsidRPr="00082B94">
        <w:rPr>
          <w:rFonts w:ascii="Times New Roman" w:hAnsi="Times New Roman"/>
          <w:lang w:val="uk-UA"/>
        </w:rPr>
        <w:t>.</w:t>
      </w:r>
      <w:r w:rsidRPr="00082B94">
        <w:rPr>
          <w:rFonts w:ascii="Times New Roman" w:hAnsi="Times New Roman"/>
          <w:highlight w:val="yellow"/>
          <w:lang w:val="uk-UA"/>
        </w:rPr>
        <w:t xml:space="preserve"> </w:t>
      </w:r>
    </w:p>
    <w:p w:rsidR="00C74C8A" w:rsidRPr="00CF0EA5" w:rsidRDefault="00C74C8A" w:rsidP="00552B1A">
      <w:pPr>
        <w:pStyle w:val="a4"/>
        <w:numPr>
          <w:ilvl w:val="0"/>
          <w:numId w:val="3"/>
        </w:numPr>
        <w:spacing w:after="0" w:line="240" w:lineRule="auto"/>
        <w:ind w:left="0" w:right="-85" w:firstLine="567"/>
        <w:jc w:val="both"/>
        <w:rPr>
          <w:rFonts w:ascii="Times New Roman" w:hAnsi="Times New Roman"/>
          <w:lang w:val="uk-UA"/>
        </w:rPr>
      </w:pPr>
      <w:r w:rsidRPr="00CF0EA5">
        <w:rPr>
          <w:rFonts w:ascii="Times New Roman" w:hAnsi="Times New Roman"/>
          <w:lang w:val="uk-UA"/>
        </w:rPr>
        <w:t xml:space="preserve">При  оцінці </w:t>
      </w:r>
      <w:r w:rsidR="00CF0EA5" w:rsidRPr="00CF0EA5">
        <w:rPr>
          <w:rFonts w:ascii="Times New Roman" w:hAnsi="Times New Roman"/>
          <w:lang w:val="uk-UA"/>
        </w:rPr>
        <w:t xml:space="preserve">паспортів бюджетних програм </w:t>
      </w:r>
      <w:r w:rsidRPr="00CF0EA5">
        <w:rPr>
          <w:rFonts w:ascii="Times New Roman" w:hAnsi="Times New Roman"/>
          <w:lang w:val="uk-UA"/>
        </w:rPr>
        <w:t>особливу увагу приділ</w:t>
      </w:r>
      <w:r w:rsidR="007A2E64" w:rsidRPr="00CF0EA5">
        <w:rPr>
          <w:rFonts w:ascii="Times New Roman" w:hAnsi="Times New Roman"/>
          <w:lang w:val="uk-UA"/>
        </w:rPr>
        <w:t xml:space="preserve">ено </w:t>
      </w:r>
      <w:r w:rsidRPr="00CF0EA5">
        <w:rPr>
          <w:rFonts w:ascii="Times New Roman" w:hAnsi="Times New Roman"/>
          <w:lang w:val="uk-UA"/>
        </w:rPr>
        <w:t>дисципліні заповнення ГБРК</w:t>
      </w:r>
      <w:r w:rsidR="00CF0EA5">
        <w:rPr>
          <w:rFonts w:ascii="Times New Roman" w:hAnsi="Times New Roman"/>
          <w:lang w:val="uk-UA"/>
        </w:rPr>
        <w:t xml:space="preserve"> розділу</w:t>
      </w:r>
      <w:r w:rsidRPr="00CF0EA5">
        <w:rPr>
          <w:rFonts w:ascii="Times New Roman" w:hAnsi="Times New Roman"/>
          <w:lang w:val="uk-UA"/>
        </w:rPr>
        <w:t xml:space="preserve"> «Результативні показники»</w:t>
      </w:r>
      <w:r w:rsidR="00CF0EA5">
        <w:rPr>
          <w:rFonts w:ascii="Times New Roman" w:hAnsi="Times New Roman"/>
          <w:lang w:val="uk-UA"/>
        </w:rPr>
        <w:t xml:space="preserve"> (таблиця 7 ПБП)</w:t>
      </w:r>
      <w:r w:rsidRPr="00CF0EA5">
        <w:rPr>
          <w:rFonts w:ascii="Times New Roman" w:hAnsi="Times New Roman"/>
          <w:lang w:val="uk-UA"/>
        </w:rPr>
        <w:t>. Пакет результативних показників:</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є основною характерною рисою ПЦМ,</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втілюють вихідним складову програмно-цільового бюджету,</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xml:space="preserve">- є своєрідним індикатором, всебічно ілюструє успішність виконання програми, </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xml:space="preserve">     - вимірювані і підлягають кількісному визначенню. </w:t>
      </w:r>
    </w:p>
    <w:p w:rsidR="00C74C8A" w:rsidRPr="00CF0EA5" w:rsidRDefault="00C74C8A" w:rsidP="00552B1A">
      <w:pPr>
        <w:pStyle w:val="a7"/>
        <w:spacing w:after="0"/>
        <w:ind w:left="0" w:right="-85" w:firstLine="567"/>
        <w:jc w:val="both"/>
        <w:rPr>
          <w:rFonts w:ascii="Times New Roman" w:hAnsi="Times New Roman"/>
          <w:sz w:val="24"/>
          <w:szCs w:val="24"/>
        </w:rPr>
      </w:pPr>
      <w:r w:rsidRPr="00CF0EA5">
        <w:rPr>
          <w:rFonts w:ascii="Times New Roman" w:hAnsi="Times New Roman"/>
          <w:sz w:val="24"/>
          <w:szCs w:val="24"/>
        </w:rPr>
        <w:t xml:space="preserve">При заповненні таблиці </w:t>
      </w:r>
      <w:r w:rsidR="00CF0EA5" w:rsidRPr="00CF0EA5">
        <w:rPr>
          <w:rFonts w:ascii="Times New Roman" w:hAnsi="Times New Roman"/>
          <w:sz w:val="24"/>
          <w:szCs w:val="24"/>
        </w:rPr>
        <w:t>результативних</w:t>
      </w:r>
      <w:r w:rsidRPr="00CF0EA5">
        <w:rPr>
          <w:rFonts w:ascii="Times New Roman" w:hAnsi="Times New Roman"/>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w:t>
      </w:r>
      <w:r w:rsidR="007A2E64" w:rsidRPr="00CF0EA5">
        <w:rPr>
          <w:rFonts w:ascii="Times New Roman" w:hAnsi="Times New Roman"/>
          <w:sz w:val="24"/>
          <w:szCs w:val="24"/>
        </w:rPr>
        <w:t xml:space="preserve"> </w:t>
      </w:r>
      <w:r w:rsidRPr="00CF0EA5">
        <w:rPr>
          <w:rFonts w:ascii="Times New Roman" w:hAnsi="Times New Roman"/>
          <w:sz w:val="24"/>
          <w:szCs w:val="24"/>
        </w:rPr>
        <w:t>цьому</w:t>
      </w:r>
      <w:r w:rsidR="007A2E64" w:rsidRPr="00CF0EA5">
        <w:rPr>
          <w:rFonts w:ascii="Times New Roman" w:hAnsi="Times New Roman"/>
          <w:sz w:val="24"/>
          <w:szCs w:val="24"/>
        </w:rPr>
        <w:t xml:space="preserve"> ГРБК </w:t>
      </w:r>
      <w:r w:rsidRPr="00CF0EA5">
        <w:rPr>
          <w:rFonts w:ascii="Times New Roman" w:hAnsi="Times New Roman"/>
          <w:sz w:val="24"/>
          <w:szCs w:val="24"/>
        </w:rPr>
        <w:t xml:space="preserve"> має бути надано відповідне пояснення щодо застосування неповного пакету показників. </w:t>
      </w:r>
      <w:r w:rsidR="00CF0EA5" w:rsidRPr="00CF0EA5">
        <w:rPr>
          <w:rFonts w:ascii="Times New Roman" w:hAnsi="Times New Roman"/>
          <w:sz w:val="24"/>
          <w:szCs w:val="24"/>
        </w:rPr>
        <w:t>Ґрунтуючись</w:t>
      </w:r>
      <w:r w:rsidRPr="00CF0EA5">
        <w:rPr>
          <w:rFonts w:ascii="Times New Roman" w:hAnsi="Times New Roman"/>
          <w:sz w:val="24"/>
          <w:szCs w:val="24"/>
        </w:rPr>
        <w:t xml:space="preserve"> на основних принципах запровадження ПЦМ в бюджетному процесі місцевих бюджетів  оцінює</w:t>
      </w:r>
      <w:r w:rsidR="00CF0EA5" w:rsidRPr="00CF0EA5">
        <w:rPr>
          <w:rFonts w:ascii="Times New Roman" w:hAnsi="Times New Roman"/>
          <w:sz w:val="24"/>
          <w:szCs w:val="24"/>
        </w:rPr>
        <w:t>ться</w:t>
      </w:r>
      <w:r w:rsidRPr="00CF0EA5">
        <w:rPr>
          <w:rFonts w:ascii="Times New Roman" w:hAnsi="Times New Roman"/>
          <w:sz w:val="24"/>
          <w:szCs w:val="24"/>
        </w:rPr>
        <w:t xml:space="preserve"> означений нижче факт:</w:t>
      </w:r>
    </w:p>
    <w:p w:rsidR="00C74C8A" w:rsidRPr="00CF0EA5" w:rsidRDefault="00CF0EA5" w:rsidP="00552B1A">
      <w:pPr>
        <w:pStyle w:val="a3"/>
        <w:spacing w:before="0" w:beforeAutospacing="0" w:after="0" w:afterAutospacing="0" w:line="276" w:lineRule="auto"/>
        <w:ind w:firstLine="567"/>
        <w:jc w:val="both"/>
        <w:rPr>
          <w:lang w:val="uk-UA"/>
        </w:rPr>
      </w:pPr>
      <w:r w:rsidRPr="00CF0EA5">
        <w:rPr>
          <w:lang w:val="uk-UA"/>
        </w:rPr>
        <w:t>- з</w:t>
      </w:r>
      <w:r w:rsidR="00C74C8A" w:rsidRPr="00CF0EA5">
        <w:rPr>
          <w:lang w:val="uk-UA"/>
        </w:rPr>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CF0EA5" w:rsidRDefault="00C74C8A" w:rsidP="00552B1A">
      <w:pPr>
        <w:pStyle w:val="a3"/>
        <w:spacing w:before="0" w:beforeAutospacing="0" w:after="0" w:afterAutospacing="0" w:line="276" w:lineRule="auto"/>
        <w:ind w:firstLine="567"/>
        <w:jc w:val="both"/>
        <w:rPr>
          <w:lang w:val="uk-UA"/>
        </w:rPr>
      </w:pPr>
      <w:r w:rsidRPr="00CF0EA5">
        <w:rPr>
          <w:lang w:val="uk-UA"/>
        </w:rPr>
        <w:t>- назву бюджетної програми (підпрограми);</w:t>
      </w:r>
    </w:p>
    <w:p w:rsidR="00C74C8A" w:rsidRPr="00CF0EA5" w:rsidRDefault="00C74C8A" w:rsidP="00552B1A">
      <w:pPr>
        <w:pStyle w:val="a3"/>
        <w:spacing w:before="0" w:beforeAutospacing="0" w:after="0" w:afterAutospacing="0" w:line="276" w:lineRule="auto"/>
        <w:ind w:firstLine="567"/>
        <w:jc w:val="both"/>
        <w:rPr>
          <w:lang w:val="uk-UA"/>
        </w:rPr>
      </w:pPr>
      <w:r w:rsidRPr="00CF0EA5">
        <w:rPr>
          <w:lang w:val="uk-UA"/>
        </w:rPr>
        <w:t>- мету бюджетної програми;</w:t>
      </w:r>
    </w:p>
    <w:p w:rsidR="00C74C8A" w:rsidRPr="00CF0EA5" w:rsidRDefault="00C74C8A" w:rsidP="00552B1A">
      <w:pPr>
        <w:pStyle w:val="a3"/>
        <w:spacing w:before="0" w:beforeAutospacing="0" w:after="0" w:afterAutospacing="0" w:line="276" w:lineRule="auto"/>
        <w:ind w:firstLine="567"/>
        <w:jc w:val="both"/>
        <w:rPr>
          <w:lang w:val="uk-UA"/>
        </w:rPr>
      </w:pPr>
      <w:r w:rsidRPr="00CF0EA5">
        <w:rPr>
          <w:lang w:val="uk-UA"/>
        </w:rPr>
        <w:t>- завдання (одне або декілька) бюджетної програми (підпрограми);</w:t>
      </w:r>
    </w:p>
    <w:p w:rsidR="00C74C8A" w:rsidRPr="00CF0EA5" w:rsidRDefault="00C74C8A" w:rsidP="00552B1A">
      <w:pPr>
        <w:pStyle w:val="a3"/>
        <w:spacing w:before="0" w:beforeAutospacing="0" w:after="0" w:afterAutospacing="0" w:line="276" w:lineRule="auto"/>
        <w:ind w:firstLine="567"/>
        <w:jc w:val="both"/>
        <w:rPr>
          <w:lang w:val="uk-UA"/>
        </w:rPr>
      </w:pPr>
      <w:r w:rsidRPr="00CF0EA5">
        <w:rPr>
          <w:lang w:val="uk-UA"/>
        </w:rPr>
        <w:t>- результативні показники виконання бюджетної програми/підпрограми (затрат, продукту, ефективності, якості).</w:t>
      </w:r>
    </w:p>
    <w:p w:rsidR="00C74C8A" w:rsidRPr="00CF0EA5" w:rsidRDefault="00C74C8A" w:rsidP="00552B1A">
      <w:pPr>
        <w:pStyle w:val="a3"/>
        <w:spacing w:before="0" w:beforeAutospacing="0" w:after="0" w:afterAutospacing="0"/>
        <w:ind w:firstLine="567"/>
        <w:jc w:val="both"/>
        <w:rPr>
          <w:lang w:val="uk-UA"/>
        </w:rPr>
      </w:pPr>
      <w:r w:rsidRPr="00CF0EA5">
        <w:rPr>
          <w:lang w:val="uk-UA"/>
        </w:rPr>
        <w:lastRenderedPageBreak/>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w:t>
      </w:r>
      <w:r w:rsidR="00552B1A">
        <w:rPr>
          <w:lang w:val="uk-UA"/>
        </w:rPr>
        <w:t xml:space="preserve"> </w:t>
      </w:r>
      <w:r w:rsidRPr="00CF0EA5">
        <w:rPr>
          <w:lang w:val="uk-UA"/>
        </w:rPr>
        <w:t>Водночас перелік завдань та результативних показників може бути уточнений і розширений.</w:t>
      </w:r>
    </w:p>
    <w:p w:rsidR="00552B1A" w:rsidRDefault="00552B1A" w:rsidP="002733BA">
      <w:pPr>
        <w:pStyle w:val="a4"/>
        <w:spacing w:after="0" w:line="240" w:lineRule="auto"/>
        <w:jc w:val="both"/>
        <w:rPr>
          <w:rFonts w:ascii="Times New Roman" w:hAnsi="Times New Roman"/>
          <w:lang w:val="uk-UA"/>
        </w:rPr>
      </w:pPr>
    </w:p>
    <w:p w:rsidR="00C74C8A" w:rsidRDefault="00CF0EA5" w:rsidP="00552B1A">
      <w:pPr>
        <w:pStyle w:val="a4"/>
        <w:spacing w:after="0" w:line="240" w:lineRule="auto"/>
        <w:ind w:left="0" w:firstLine="567"/>
        <w:jc w:val="both"/>
        <w:rPr>
          <w:rFonts w:ascii="Times New Roman" w:hAnsi="Times New Roman"/>
          <w:lang w:val="uk-UA"/>
        </w:rPr>
      </w:pPr>
      <w:r>
        <w:rPr>
          <w:rFonts w:ascii="Times New Roman" w:hAnsi="Times New Roman"/>
          <w:lang w:val="uk-UA"/>
        </w:rPr>
        <w:t>Аналізуючи дисципліну складання паспортів бюджетних програм по ГРБК Баштанської міської ради можна констатувати наступне:</w:t>
      </w:r>
    </w:p>
    <w:p w:rsidR="006014FB" w:rsidRPr="006014FB" w:rsidRDefault="006014FB" w:rsidP="006014FB">
      <w:pPr>
        <w:pStyle w:val="a4"/>
        <w:numPr>
          <w:ilvl w:val="0"/>
          <w:numId w:val="5"/>
        </w:numPr>
        <w:spacing w:after="0" w:line="240" w:lineRule="auto"/>
        <w:jc w:val="both"/>
        <w:rPr>
          <w:rFonts w:ascii="Times New Roman" w:hAnsi="Times New Roman"/>
          <w:i/>
          <w:lang w:val="uk-UA"/>
        </w:rPr>
      </w:pPr>
      <w:r>
        <w:rPr>
          <w:rFonts w:ascii="Times New Roman" w:hAnsi="Times New Roman"/>
          <w:lang w:val="uk-UA"/>
        </w:rPr>
        <w:t>П</w:t>
      </w:r>
      <w:r w:rsidR="00553129">
        <w:rPr>
          <w:rFonts w:ascii="Times New Roman" w:hAnsi="Times New Roman"/>
          <w:lang w:val="uk-UA"/>
        </w:rPr>
        <w:t xml:space="preserve">аспорти бюджетних програм (ПБП) </w:t>
      </w:r>
      <w:r>
        <w:rPr>
          <w:rFonts w:ascii="Times New Roman" w:hAnsi="Times New Roman"/>
          <w:lang w:val="uk-UA"/>
        </w:rPr>
        <w:t>сфери соціального захисту освіти, дошкільної освіти, керівництва та управління відповідною соціальною сферою заповнено у чіткій відповідності до профільних наказів МФУ. (</w:t>
      </w:r>
      <w:proofErr w:type="spellStart"/>
      <w:r w:rsidRPr="006014FB">
        <w:rPr>
          <w:rFonts w:ascii="Times New Roman" w:hAnsi="Times New Roman"/>
          <w:i/>
          <w:lang w:val="uk-UA"/>
        </w:rPr>
        <w:t>ПБП«Палац</w:t>
      </w:r>
      <w:proofErr w:type="spellEnd"/>
      <w:r w:rsidRPr="006014FB">
        <w:rPr>
          <w:rFonts w:ascii="Times New Roman" w:hAnsi="Times New Roman"/>
          <w:i/>
          <w:lang w:val="uk-UA"/>
        </w:rPr>
        <w:t xml:space="preserve"> і будинки культури, клуби та інші заклади клубного типу», «Соціальний захист ветеранів війни і праці», «Централізоване ведення бухгалтерського обліку», «Соціальний захист ветеранів війни і праці», «Дошкільна освіта», «Організаційне, інформаційно-аналітичне та матеріально-технічне забезпечення, діяльності обласної ради, районної ради, районної у місті ради», «Керівництво і управління у сфері…,» та інші</w:t>
      </w:r>
      <w:r>
        <w:rPr>
          <w:rFonts w:ascii="Times New Roman" w:hAnsi="Times New Roman"/>
          <w:i/>
          <w:lang w:val="uk-UA"/>
        </w:rPr>
        <w:t xml:space="preserve"> </w:t>
      </w:r>
      <w:r w:rsidRPr="006014FB">
        <w:rPr>
          <w:rFonts w:ascii="Times New Roman" w:hAnsi="Times New Roman"/>
          <w:i/>
          <w:lang w:val="uk-UA"/>
        </w:rPr>
        <w:t xml:space="preserve">, </w:t>
      </w:r>
      <w:r>
        <w:rPr>
          <w:rFonts w:ascii="Times New Roman" w:hAnsi="Times New Roman"/>
          <w:i/>
          <w:lang w:val="uk-UA"/>
        </w:rPr>
        <w:t>)</w:t>
      </w:r>
    </w:p>
    <w:p w:rsidR="00082B94" w:rsidRPr="00552B1A" w:rsidRDefault="006014FB" w:rsidP="00082B94">
      <w:pPr>
        <w:spacing w:after="0" w:line="240" w:lineRule="auto"/>
        <w:jc w:val="both"/>
        <w:rPr>
          <w:rFonts w:ascii="Times New Roman" w:hAnsi="Times New Roman"/>
          <w:i/>
          <w:lang w:val="uk-UA"/>
        </w:rPr>
      </w:pPr>
      <w:r>
        <w:rPr>
          <w:rFonts w:ascii="Times New Roman" w:hAnsi="Times New Roman"/>
          <w:lang w:val="uk-UA"/>
        </w:rPr>
        <w:t xml:space="preserve">Дисципліна складання </w:t>
      </w:r>
      <w:r w:rsidR="00553129">
        <w:rPr>
          <w:rFonts w:ascii="Times New Roman" w:hAnsi="Times New Roman"/>
          <w:lang w:val="uk-UA"/>
        </w:rPr>
        <w:t xml:space="preserve">паспортів бюджетних програм </w:t>
      </w:r>
      <w:r>
        <w:rPr>
          <w:rFonts w:ascii="Times New Roman" w:hAnsi="Times New Roman"/>
          <w:lang w:val="uk-UA"/>
        </w:rPr>
        <w:t xml:space="preserve">ПБП сфери власних повноважень ОМС  (Житлово-комунальне господарство, Благоустрій, Капремонти житлового фонду, </w:t>
      </w:r>
      <w:r w:rsidRPr="00082B94">
        <w:rPr>
          <w:rFonts w:ascii="Times New Roman" w:hAnsi="Times New Roman"/>
          <w:lang w:val="uk-UA"/>
        </w:rPr>
        <w:t xml:space="preserve">фінансова підтримка об’єктів комунального господарства, та </w:t>
      </w:r>
      <w:proofErr w:type="spellStart"/>
      <w:r w:rsidRPr="00082B94">
        <w:rPr>
          <w:rFonts w:ascii="Times New Roman" w:hAnsi="Times New Roman"/>
          <w:lang w:val="uk-UA"/>
        </w:rPr>
        <w:t>інш</w:t>
      </w:r>
      <w:proofErr w:type="spellEnd"/>
      <w:r w:rsidRPr="00082B94">
        <w:rPr>
          <w:rFonts w:ascii="Times New Roman" w:hAnsi="Times New Roman"/>
          <w:lang w:val="uk-UA"/>
        </w:rPr>
        <w:t xml:space="preserve">) вкрай низька. </w:t>
      </w:r>
      <w:r w:rsidRPr="00552B1A">
        <w:rPr>
          <w:rFonts w:ascii="Times New Roman" w:hAnsi="Times New Roman"/>
          <w:i/>
          <w:lang w:val="uk-UA"/>
        </w:rPr>
        <w:t>Детальніше див. «Коментарі</w:t>
      </w:r>
      <w:r w:rsidR="00082B94" w:rsidRPr="00552B1A">
        <w:rPr>
          <w:rFonts w:ascii="Times New Roman" w:hAnsi="Times New Roman"/>
          <w:i/>
          <w:lang w:val="uk-UA"/>
        </w:rPr>
        <w:t xml:space="preserve"> до оціночної таблиці «Міський бюджет  Баштанської Міської ОТГ»</w:t>
      </w:r>
    </w:p>
    <w:p w:rsidR="006014FB" w:rsidRPr="00082B94" w:rsidRDefault="006014FB" w:rsidP="00082B94">
      <w:pPr>
        <w:pStyle w:val="a4"/>
        <w:spacing w:after="0" w:line="240" w:lineRule="auto"/>
        <w:ind w:left="1080"/>
        <w:jc w:val="both"/>
        <w:rPr>
          <w:rFonts w:ascii="Times New Roman" w:hAnsi="Times New Roman"/>
          <w:lang w:val="uk-UA"/>
        </w:rPr>
      </w:pPr>
    </w:p>
    <w:p w:rsidR="00BB1555" w:rsidRPr="00082B94" w:rsidRDefault="00BB1555" w:rsidP="00C869A3">
      <w:pPr>
        <w:pStyle w:val="a4"/>
        <w:numPr>
          <w:ilvl w:val="0"/>
          <w:numId w:val="3"/>
        </w:numPr>
        <w:spacing w:after="0" w:line="240" w:lineRule="auto"/>
        <w:jc w:val="both"/>
        <w:rPr>
          <w:rFonts w:ascii="Times New Roman" w:hAnsi="Times New Roman"/>
          <w:lang w:val="uk-UA" w:eastAsia="uk-UA"/>
        </w:rPr>
      </w:pPr>
      <w:r w:rsidRPr="00082B94">
        <w:rPr>
          <w:rFonts w:ascii="Times New Roman" w:hAnsi="Times New Roman"/>
          <w:lang w:val="uk-UA" w:eastAsia="uk-UA"/>
        </w:rPr>
        <w:t xml:space="preserve">Публічного представлення </w:t>
      </w:r>
      <w:r w:rsidRPr="00082B94">
        <w:rPr>
          <w:rFonts w:ascii="Times New Roman" w:hAnsi="Times New Roman"/>
          <w:color w:val="000000"/>
          <w:lang w:val="uk-UA"/>
        </w:rPr>
        <w:t xml:space="preserve">інформації про бюджет за бюджетними програмами та показниками, </w:t>
      </w:r>
      <w:r w:rsidRPr="00082B94">
        <w:rPr>
          <w:rFonts w:ascii="Times New Roman" w:hAnsi="Times New Roman"/>
          <w:color w:val="000000"/>
          <w:shd w:val="clear" w:color="auto" w:fill="FFFFFF"/>
          <w:lang w:val="uk-UA"/>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 не відбулось</w:t>
      </w:r>
      <w:r w:rsidR="007A2C9C">
        <w:rPr>
          <w:rFonts w:ascii="Times New Roman" w:hAnsi="Times New Roman"/>
          <w:color w:val="000000"/>
          <w:shd w:val="clear" w:color="auto" w:fill="FFFFFF"/>
          <w:lang w:val="uk-UA"/>
        </w:rPr>
        <w:t xml:space="preserve"> ні в цілому по ОМС ні окремими ГБРК</w:t>
      </w:r>
      <w:r w:rsidRPr="00082B94">
        <w:rPr>
          <w:rFonts w:ascii="Times New Roman" w:hAnsi="Times New Roman"/>
          <w:color w:val="000000"/>
          <w:shd w:val="clear" w:color="auto" w:fill="FFFFFF"/>
          <w:lang w:val="uk-UA"/>
        </w:rPr>
        <w:t>.</w:t>
      </w:r>
    </w:p>
    <w:p w:rsidR="001E6D29" w:rsidRPr="00082B94" w:rsidRDefault="00BB1555" w:rsidP="00C869A3">
      <w:pPr>
        <w:pStyle w:val="a4"/>
        <w:numPr>
          <w:ilvl w:val="0"/>
          <w:numId w:val="3"/>
        </w:numPr>
        <w:spacing w:after="0" w:line="240" w:lineRule="auto"/>
        <w:jc w:val="both"/>
        <w:rPr>
          <w:rFonts w:ascii="Times New Roman" w:hAnsi="Times New Roman"/>
          <w:lang w:val="uk-UA"/>
        </w:rPr>
      </w:pPr>
      <w:r w:rsidRPr="00082B94">
        <w:rPr>
          <w:rFonts w:ascii="Times New Roman" w:hAnsi="Times New Roman"/>
          <w:lang w:val="uk-UA"/>
        </w:rPr>
        <w:t>Прогноз бюджету на наступні за плановим 2018-2019р затверджений</w:t>
      </w:r>
      <w:r w:rsidR="00D5701A" w:rsidRPr="00082B94">
        <w:rPr>
          <w:rFonts w:ascii="Times New Roman" w:hAnsi="Times New Roman"/>
          <w:lang w:val="uk-UA"/>
        </w:rPr>
        <w:t xml:space="preserve"> рішенням  сесії????????</w:t>
      </w:r>
    </w:p>
    <w:p w:rsidR="00811F9C" w:rsidRPr="00082B94" w:rsidRDefault="00811F9C" w:rsidP="00C869A3">
      <w:pPr>
        <w:spacing w:after="0" w:line="240" w:lineRule="auto"/>
        <w:jc w:val="both"/>
        <w:rPr>
          <w:rFonts w:ascii="Times New Roman" w:hAnsi="Times New Roman"/>
          <w:lang w:val="uk-UA"/>
        </w:rPr>
      </w:pPr>
    </w:p>
    <w:p w:rsidR="00811F9C" w:rsidRPr="00CF0EA5" w:rsidRDefault="00811F9C" w:rsidP="00C869A3">
      <w:pPr>
        <w:spacing w:after="0" w:line="240" w:lineRule="auto"/>
        <w:jc w:val="both"/>
        <w:rPr>
          <w:rFonts w:ascii="Times New Roman" w:hAnsi="Times New Roman"/>
          <w:lang w:val="uk-UA"/>
        </w:rPr>
      </w:pPr>
    </w:p>
    <w:p w:rsidR="00811F9C" w:rsidRPr="00CF0EA5" w:rsidRDefault="00811F9C" w:rsidP="00C869A3">
      <w:pPr>
        <w:spacing w:after="0" w:line="240" w:lineRule="auto"/>
        <w:jc w:val="both"/>
        <w:rPr>
          <w:rFonts w:ascii="Times New Roman" w:hAnsi="Times New Roman"/>
          <w:lang w:val="uk-UA"/>
        </w:rPr>
      </w:pPr>
    </w:p>
    <w:p w:rsidR="00894214" w:rsidRPr="00CF0EA5" w:rsidRDefault="006409CC" w:rsidP="00C869A3">
      <w:pPr>
        <w:spacing w:after="0" w:line="240" w:lineRule="auto"/>
        <w:jc w:val="center"/>
        <w:rPr>
          <w:rFonts w:ascii="Times New Roman" w:hAnsi="Times New Roman"/>
          <w:b/>
          <w:lang w:val="uk-UA"/>
        </w:rPr>
      </w:pPr>
      <w:r w:rsidRPr="00CF0EA5">
        <w:rPr>
          <w:rFonts w:ascii="Times New Roman" w:hAnsi="Times New Roman"/>
          <w:b/>
          <w:lang w:val="uk-UA"/>
        </w:rPr>
        <w:t>Коментарі</w:t>
      </w:r>
      <w:r w:rsidR="000B30C2" w:rsidRPr="00CF0EA5">
        <w:rPr>
          <w:rFonts w:ascii="Times New Roman" w:hAnsi="Times New Roman"/>
          <w:b/>
          <w:lang w:val="uk-UA"/>
        </w:rPr>
        <w:t xml:space="preserve"> до оціночної таблиці «Міський бюджет  Баштанської Міської ОТГ</w:t>
      </w:r>
      <w:r w:rsidR="003C37F5" w:rsidRPr="00CF0EA5">
        <w:rPr>
          <w:rFonts w:ascii="Times New Roman" w:hAnsi="Times New Roman"/>
          <w:b/>
          <w:lang w:val="uk-UA"/>
        </w:rPr>
        <w:t>»</w:t>
      </w:r>
    </w:p>
    <w:p w:rsidR="007A2C9C" w:rsidRPr="00082B94" w:rsidRDefault="007A2C9C" w:rsidP="00C869A3">
      <w:pPr>
        <w:spacing w:after="0" w:line="240" w:lineRule="auto"/>
        <w:rPr>
          <w:rFonts w:ascii="Times New Roman" w:hAnsi="Times New Roman"/>
          <w:lang w:val="uk-UA"/>
        </w:rPr>
      </w:pPr>
    </w:p>
    <w:p w:rsidR="00C869A3" w:rsidRPr="00C869A3" w:rsidRDefault="0090262A" w:rsidP="00C869A3">
      <w:pPr>
        <w:pStyle w:val="2"/>
        <w:numPr>
          <w:ilvl w:val="0"/>
          <w:numId w:val="7"/>
        </w:numPr>
        <w:spacing w:before="0" w:beforeAutospacing="0" w:after="0" w:afterAutospacing="0"/>
        <w:jc w:val="center"/>
        <w:rPr>
          <w:rFonts w:ascii="Times New Roman" w:hAnsi="Times New Roman"/>
          <w:b/>
          <w:color w:val="auto"/>
          <w:sz w:val="24"/>
          <w:szCs w:val="24"/>
          <w:lang w:val="uk-UA"/>
        </w:rPr>
      </w:pPr>
      <w:r w:rsidRPr="00C869A3">
        <w:rPr>
          <w:rFonts w:ascii="Times New Roman" w:hAnsi="Times New Roman"/>
          <w:b/>
          <w:color w:val="auto"/>
          <w:sz w:val="24"/>
          <w:szCs w:val="24"/>
          <w:lang w:val="uk-UA"/>
        </w:rPr>
        <w:t xml:space="preserve">ПБП </w:t>
      </w:r>
      <w:r w:rsidRPr="00C869A3">
        <w:rPr>
          <w:rFonts w:ascii="Times New Roman" w:hAnsi="Times New Roman"/>
          <w:b/>
          <w:bCs/>
          <w:color w:val="auto"/>
          <w:sz w:val="24"/>
          <w:szCs w:val="24"/>
          <w:lang w:val="uk-UA" w:eastAsia="ru-RU"/>
        </w:rPr>
        <w:t>0117470</w:t>
      </w:r>
      <w:r w:rsidR="0087443B" w:rsidRPr="00C869A3">
        <w:rPr>
          <w:rFonts w:ascii="Times New Roman" w:hAnsi="Times New Roman"/>
          <w:b/>
          <w:bCs/>
          <w:color w:val="auto"/>
          <w:sz w:val="24"/>
          <w:szCs w:val="24"/>
          <w:lang w:val="uk-UA" w:eastAsia="ru-RU"/>
        </w:rPr>
        <w:t xml:space="preserve">  «</w:t>
      </w:r>
      <w:r w:rsidRPr="00C869A3">
        <w:rPr>
          <w:rFonts w:ascii="Times New Roman" w:hAnsi="Times New Roman"/>
          <w:b/>
          <w:color w:val="auto"/>
          <w:sz w:val="24"/>
          <w:szCs w:val="24"/>
          <w:lang w:val="uk-UA" w:eastAsia="ru-RU"/>
        </w:rPr>
        <w:t>Внес</w:t>
      </w:r>
      <w:r w:rsidR="007A2C9C">
        <w:rPr>
          <w:rFonts w:ascii="Times New Roman" w:hAnsi="Times New Roman"/>
          <w:b/>
          <w:color w:val="auto"/>
          <w:sz w:val="24"/>
          <w:szCs w:val="24"/>
          <w:lang w:val="uk-UA" w:eastAsia="ru-RU"/>
        </w:rPr>
        <w:t xml:space="preserve">ки до статутного капіталу </w:t>
      </w:r>
      <w:proofErr w:type="spellStart"/>
      <w:r w:rsidR="007A2C9C">
        <w:rPr>
          <w:rFonts w:ascii="Times New Roman" w:hAnsi="Times New Roman"/>
          <w:b/>
          <w:color w:val="auto"/>
          <w:sz w:val="24"/>
          <w:szCs w:val="24"/>
          <w:lang w:val="uk-UA" w:eastAsia="ru-RU"/>
        </w:rPr>
        <w:t>суб</w:t>
      </w:r>
      <w:r w:rsidR="00082B94" w:rsidRPr="00C869A3">
        <w:rPr>
          <w:rFonts w:ascii="Times New Roman" w:hAnsi="Times New Roman"/>
          <w:b/>
          <w:color w:val="auto"/>
          <w:sz w:val="24"/>
          <w:szCs w:val="24"/>
          <w:lang w:val="uk-UA" w:eastAsia="ru-RU"/>
        </w:rPr>
        <w:t>҆҆</w:t>
      </w:r>
      <w:r w:rsidR="007A2C9C">
        <w:rPr>
          <w:rFonts w:ascii="Times New Roman" w:hAnsi="Times New Roman"/>
          <w:b/>
          <w:color w:val="auto"/>
          <w:sz w:val="24"/>
          <w:szCs w:val="24"/>
          <w:lang w:val="uk-UA" w:eastAsia="ru-RU"/>
        </w:rPr>
        <w:t>є</w:t>
      </w:r>
      <w:r w:rsidRPr="00C869A3">
        <w:rPr>
          <w:rFonts w:ascii="Times New Roman" w:hAnsi="Times New Roman"/>
          <w:b/>
          <w:color w:val="auto"/>
          <w:sz w:val="24"/>
          <w:szCs w:val="24"/>
          <w:lang w:val="uk-UA" w:eastAsia="ru-RU"/>
        </w:rPr>
        <w:t>ктів</w:t>
      </w:r>
      <w:proofErr w:type="spellEnd"/>
      <w:r w:rsidRPr="00C869A3">
        <w:rPr>
          <w:rFonts w:ascii="Times New Roman" w:hAnsi="Times New Roman"/>
          <w:b/>
          <w:color w:val="auto"/>
          <w:sz w:val="24"/>
          <w:szCs w:val="24"/>
          <w:lang w:val="uk-UA" w:eastAsia="ru-RU"/>
        </w:rPr>
        <w:t xml:space="preserve"> господарювання</w:t>
      </w:r>
      <w:r w:rsidR="0087443B" w:rsidRPr="00C869A3">
        <w:rPr>
          <w:rFonts w:ascii="Times New Roman" w:hAnsi="Times New Roman"/>
          <w:b/>
          <w:color w:val="auto"/>
          <w:sz w:val="24"/>
          <w:szCs w:val="24"/>
          <w:lang w:val="uk-UA" w:eastAsia="ru-RU"/>
        </w:rPr>
        <w:t xml:space="preserve">» </w:t>
      </w:r>
      <w:r w:rsidR="00082B94" w:rsidRPr="00C869A3">
        <w:rPr>
          <w:rFonts w:ascii="Times New Roman" w:hAnsi="Times New Roman"/>
          <w:b/>
          <w:color w:val="auto"/>
          <w:sz w:val="24"/>
          <w:szCs w:val="24"/>
          <w:lang w:val="uk-UA" w:eastAsia="ru-RU"/>
        </w:rPr>
        <w:t xml:space="preserve">- </w:t>
      </w:r>
      <w:r w:rsidR="0087443B" w:rsidRPr="00C869A3">
        <w:rPr>
          <w:rFonts w:ascii="Times New Roman" w:hAnsi="Times New Roman"/>
          <w:b/>
          <w:color w:val="auto"/>
          <w:sz w:val="24"/>
          <w:szCs w:val="24"/>
          <w:lang w:val="uk-UA" w:eastAsia="ru-RU"/>
        </w:rPr>
        <w:t>0 балів</w:t>
      </w:r>
      <w:r w:rsidR="00082B94" w:rsidRPr="00C869A3">
        <w:rPr>
          <w:rFonts w:ascii="Times New Roman" w:hAnsi="Times New Roman"/>
          <w:b/>
          <w:color w:val="auto"/>
          <w:sz w:val="24"/>
          <w:szCs w:val="24"/>
          <w:lang w:val="uk-UA" w:eastAsia="ru-RU"/>
        </w:rPr>
        <w:t>.</w:t>
      </w:r>
    </w:p>
    <w:p w:rsidR="00C869A3" w:rsidRPr="00C869A3" w:rsidRDefault="00C869A3" w:rsidP="00C869A3">
      <w:pPr>
        <w:pStyle w:val="2"/>
        <w:spacing w:before="0" w:beforeAutospacing="0" w:after="0" w:afterAutospacing="0"/>
        <w:jc w:val="center"/>
        <w:rPr>
          <w:rFonts w:ascii="Times New Roman" w:hAnsi="Times New Roman"/>
          <w:b/>
          <w:color w:val="auto"/>
          <w:sz w:val="24"/>
          <w:szCs w:val="24"/>
          <w:lang w:val="uk-UA" w:eastAsia="ru-RU"/>
        </w:rPr>
      </w:pPr>
      <w:r w:rsidRPr="00C869A3">
        <w:rPr>
          <w:rFonts w:ascii="Times New Roman" w:hAnsi="Times New Roman"/>
          <w:b/>
          <w:color w:val="auto"/>
          <w:sz w:val="24"/>
          <w:szCs w:val="24"/>
          <w:lang w:val="uk-UA" w:eastAsia="ru-RU"/>
        </w:rPr>
        <w:t>ГБРК - Баштанська міська рада</w:t>
      </w:r>
    </w:p>
    <w:p w:rsidR="0083763F" w:rsidRPr="0083763F" w:rsidRDefault="00082B94" w:rsidP="00C869A3">
      <w:pPr>
        <w:pStyle w:val="2"/>
        <w:spacing w:before="0" w:beforeAutospacing="0" w:after="0" w:afterAutospacing="0"/>
        <w:ind w:firstLine="567"/>
        <w:jc w:val="both"/>
        <w:rPr>
          <w:rFonts w:ascii="Times New Roman" w:hAnsi="Times New Roman"/>
          <w:color w:val="auto"/>
          <w:sz w:val="24"/>
          <w:szCs w:val="24"/>
          <w:lang w:val="uk-UA"/>
        </w:rPr>
      </w:pPr>
      <w:r w:rsidRPr="0083763F">
        <w:rPr>
          <w:rFonts w:ascii="Times New Roman" w:hAnsi="Times New Roman"/>
          <w:color w:val="auto"/>
          <w:sz w:val="24"/>
          <w:szCs w:val="24"/>
          <w:lang w:val="uk-UA" w:eastAsia="ru-RU"/>
        </w:rPr>
        <w:t>Профільний наказ</w:t>
      </w:r>
      <w:r w:rsidR="0083763F" w:rsidRPr="0083763F">
        <w:rPr>
          <w:rFonts w:ascii="Times New Roman" w:hAnsi="Times New Roman"/>
          <w:color w:val="auto"/>
          <w:sz w:val="24"/>
          <w:szCs w:val="24"/>
          <w:lang w:val="uk-UA" w:eastAsia="ru-RU"/>
        </w:rPr>
        <w:t xml:space="preserve"> ЦОВВ</w:t>
      </w:r>
      <w:r w:rsidRPr="0083763F">
        <w:rPr>
          <w:rFonts w:ascii="Times New Roman" w:hAnsi="Times New Roman"/>
          <w:color w:val="auto"/>
          <w:sz w:val="24"/>
          <w:szCs w:val="24"/>
          <w:lang w:val="uk-UA" w:eastAsia="ru-RU"/>
        </w:rPr>
        <w:t xml:space="preserve"> – наказ МФУ №945 </w:t>
      </w:r>
      <w:r w:rsidR="0083763F" w:rsidRPr="0083763F">
        <w:rPr>
          <w:rFonts w:ascii="Times New Roman" w:hAnsi="Times New Roman"/>
          <w:bCs/>
          <w:color w:val="auto"/>
          <w:lang w:val="uk-UA"/>
        </w:rPr>
        <w:t xml:space="preserve">від 27 липня 2011 року </w:t>
      </w:r>
      <w:r w:rsidR="0083763F" w:rsidRPr="0083763F">
        <w:rPr>
          <w:rFonts w:ascii="Times New Roman" w:hAnsi="Times New Roman"/>
          <w:color w:val="auto"/>
          <w:sz w:val="24"/>
          <w:szCs w:val="24"/>
          <w:lang w:val="uk-UA" w:eastAsia="ru-RU"/>
        </w:rPr>
        <w:t>«</w:t>
      </w:r>
      <w:r w:rsidR="0083763F" w:rsidRPr="0083763F">
        <w:rPr>
          <w:rFonts w:ascii="Times New Roman" w:hAnsi="Times New Roman"/>
          <w:color w:val="auto"/>
          <w:sz w:val="24"/>
          <w:szCs w:val="24"/>
          <w:lang w:val="uk-UA"/>
        </w:rPr>
        <w:t xml:space="preserve">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 Далі </w:t>
      </w:r>
      <w:r w:rsidR="0083763F">
        <w:rPr>
          <w:rFonts w:ascii="Times New Roman" w:hAnsi="Times New Roman"/>
          <w:color w:val="auto"/>
          <w:sz w:val="24"/>
          <w:szCs w:val="24"/>
          <w:lang w:val="uk-UA"/>
        </w:rPr>
        <w:t>(</w:t>
      </w:r>
      <w:r w:rsidR="0083763F" w:rsidRPr="0083763F">
        <w:rPr>
          <w:rFonts w:ascii="Times New Roman" w:hAnsi="Times New Roman"/>
          <w:color w:val="auto"/>
          <w:sz w:val="24"/>
          <w:szCs w:val="24"/>
          <w:lang w:val="uk-UA"/>
        </w:rPr>
        <w:t>Наказ 945</w:t>
      </w:r>
      <w:r w:rsidR="0083763F">
        <w:rPr>
          <w:rFonts w:ascii="Times New Roman" w:hAnsi="Times New Roman"/>
          <w:color w:val="auto"/>
          <w:sz w:val="24"/>
          <w:szCs w:val="24"/>
          <w:lang w:val="uk-UA"/>
        </w:rPr>
        <w:t>)</w:t>
      </w:r>
    </w:p>
    <w:p w:rsidR="007A2C9C" w:rsidRDefault="007A2C9C" w:rsidP="00C869A3">
      <w:pPr>
        <w:spacing w:after="0" w:line="240" w:lineRule="auto"/>
        <w:rPr>
          <w:rFonts w:ascii="Times New Roman" w:eastAsia="Times New Roman" w:hAnsi="Times New Roman"/>
          <w:color w:val="000000"/>
          <w:lang w:val="uk-UA" w:eastAsia="ru-RU"/>
        </w:rPr>
      </w:pPr>
    </w:p>
    <w:p w:rsidR="0090262A" w:rsidRPr="0083763F" w:rsidRDefault="0090262A" w:rsidP="007A2C9C">
      <w:pPr>
        <w:spacing w:after="0" w:line="240" w:lineRule="auto"/>
        <w:ind w:firstLine="567"/>
        <w:rPr>
          <w:rFonts w:ascii="Times New Roman" w:eastAsia="Times New Roman" w:hAnsi="Times New Roman"/>
          <w:iCs/>
          <w:lang w:val="uk-UA" w:eastAsia="ru-RU"/>
        </w:rPr>
      </w:pPr>
      <w:r w:rsidRPr="0083763F">
        <w:rPr>
          <w:rFonts w:ascii="Times New Roman" w:eastAsia="Times New Roman" w:hAnsi="Times New Roman"/>
          <w:color w:val="000000"/>
          <w:lang w:val="uk-UA" w:eastAsia="ru-RU"/>
        </w:rPr>
        <w:t xml:space="preserve">Паспортом передбачено </w:t>
      </w:r>
      <w:r w:rsidR="0087443B" w:rsidRPr="0083763F">
        <w:rPr>
          <w:rFonts w:ascii="Times New Roman" w:eastAsia="Times New Roman" w:hAnsi="Times New Roman"/>
          <w:color w:val="000000"/>
          <w:lang w:val="uk-UA" w:eastAsia="ru-RU"/>
        </w:rPr>
        <w:t>видатки  «</w:t>
      </w:r>
      <w:r w:rsidRPr="0083763F">
        <w:rPr>
          <w:rFonts w:ascii="Times New Roman" w:eastAsia="Times New Roman" w:hAnsi="Times New Roman"/>
          <w:iCs/>
          <w:lang w:val="uk-UA" w:eastAsia="ru-RU"/>
        </w:rPr>
        <w:t xml:space="preserve">Внески до статутного фонду </w:t>
      </w:r>
      <w:proofErr w:type="spellStart"/>
      <w:r w:rsidRPr="0083763F">
        <w:rPr>
          <w:rFonts w:ascii="Times New Roman" w:eastAsia="Times New Roman" w:hAnsi="Times New Roman"/>
          <w:iCs/>
          <w:lang w:val="uk-UA" w:eastAsia="ru-RU"/>
        </w:rPr>
        <w:t>КП</w:t>
      </w:r>
      <w:proofErr w:type="spellEnd"/>
      <w:r w:rsidRPr="0083763F">
        <w:rPr>
          <w:rFonts w:ascii="Times New Roman" w:eastAsia="Times New Roman" w:hAnsi="Times New Roman"/>
          <w:iCs/>
          <w:lang w:val="uk-UA" w:eastAsia="ru-RU"/>
        </w:rPr>
        <w:t xml:space="preserve"> "</w:t>
      </w:r>
      <w:proofErr w:type="spellStart"/>
      <w:r w:rsidRPr="0083763F">
        <w:rPr>
          <w:rFonts w:ascii="Times New Roman" w:eastAsia="Times New Roman" w:hAnsi="Times New Roman"/>
          <w:iCs/>
          <w:lang w:val="uk-UA" w:eastAsia="ru-RU"/>
        </w:rPr>
        <w:t>Новосергіївське</w:t>
      </w:r>
      <w:proofErr w:type="spellEnd"/>
      <w:r w:rsidRPr="0083763F">
        <w:rPr>
          <w:rFonts w:ascii="Times New Roman" w:eastAsia="Times New Roman" w:hAnsi="Times New Roman"/>
          <w:iCs/>
          <w:lang w:val="uk-UA" w:eastAsia="ru-RU"/>
        </w:rPr>
        <w:t xml:space="preserve">", </w:t>
      </w:r>
      <w:proofErr w:type="spellStart"/>
      <w:r w:rsidRPr="0083763F">
        <w:rPr>
          <w:rFonts w:ascii="Times New Roman" w:eastAsia="Times New Roman" w:hAnsi="Times New Roman"/>
          <w:iCs/>
          <w:lang w:val="uk-UA" w:eastAsia="ru-RU"/>
        </w:rPr>
        <w:t>КП</w:t>
      </w:r>
      <w:proofErr w:type="spellEnd"/>
      <w:r w:rsidRPr="0083763F">
        <w:rPr>
          <w:rFonts w:ascii="Times New Roman" w:eastAsia="Times New Roman" w:hAnsi="Times New Roman"/>
          <w:iCs/>
          <w:lang w:val="uk-UA" w:eastAsia="ru-RU"/>
        </w:rPr>
        <w:t xml:space="preserve"> "</w:t>
      </w:r>
      <w:proofErr w:type="spellStart"/>
      <w:r w:rsidRPr="0083763F">
        <w:rPr>
          <w:rFonts w:ascii="Times New Roman" w:eastAsia="Times New Roman" w:hAnsi="Times New Roman"/>
          <w:iCs/>
          <w:lang w:val="uk-UA" w:eastAsia="ru-RU"/>
        </w:rPr>
        <w:t>Христофорівське</w:t>
      </w:r>
      <w:proofErr w:type="spellEnd"/>
      <w:r w:rsidRPr="0083763F">
        <w:rPr>
          <w:rFonts w:ascii="Times New Roman" w:eastAsia="Times New Roman" w:hAnsi="Times New Roman"/>
          <w:iCs/>
          <w:lang w:val="uk-UA" w:eastAsia="ru-RU"/>
        </w:rPr>
        <w:t>"</w:t>
      </w:r>
      <w:r w:rsidR="0083763F">
        <w:rPr>
          <w:rFonts w:ascii="Times New Roman" w:eastAsia="Times New Roman" w:hAnsi="Times New Roman"/>
          <w:iCs/>
          <w:lang w:val="uk-UA" w:eastAsia="ru-RU"/>
        </w:rPr>
        <w:t>»</w:t>
      </w:r>
      <w:r w:rsidR="00F263E8" w:rsidRPr="0083763F">
        <w:rPr>
          <w:rFonts w:ascii="Times New Roman" w:eastAsia="Times New Roman" w:hAnsi="Times New Roman"/>
          <w:iCs/>
          <w:lang w:val="uk-UA" w:eastAsia="ru-RU"/>
        </w:rPr>
        <w:t>:</w:t>
      </w:r>
      <w:r w:rsidR="0087443B" w:rsidRPr="0083763F">
        <w:rPr>
          <w:rFonts w:ascii="Times New Roman" w:eastAsia="Times New Roman" w:hAnsi="Times New Roman"/>
          <w:iCs/>
          <w:lang w:val="uk-UA" w:eastAsia="ru-RU"/>
        </w:rPr>
        <w:t xml:space="preserve"> </w:t>
      </w:r>
    </w:p>
    <w:tbl>
      <w:tblPr>
        <w:tblW w:w="99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2"/>
        <w:gridCol w:w="623"/>
        <w:gridCol w:w="3772"/>
        <w:gridCol w:w="1583"/>
      </w:tblGrid>
      <w:tr w:rsidR="0090262A" w:rsidRPr="00CF0EA5" w:rsidTr="007A2C9C">
        <w:trPr>
          <w:trHeight w:val="164"/>
        </w:trPr>
        <w:tc>
          <w:tcPr>
            <w:tcW w:w="9960" w:type="dxa"/>
            <w:gridSpan w:val="4"/>
            <w:shd w:val="clear" w:color="auto" w:fill="auto"/>
            <w:hideMark/>
          </w:tcPr>
          <w:p w:rsidR="0090262A" w:rsidRPr="00CF0EA5" w:rsidRDefault="0087443B" w:rsidP="00C869A3">
            <w:pPr>
              <w:spacing w:after="0" w:line="240" w:lineRule="auto"/>
              <w:rPr>
                <w:rFonts w:ascii="Times New Roman" w:eastAsia="Times New Roman" w:hAnsi="Times New Roman"/>
                <w:iCs/>
                <w:sz w:val="20"/>
                <w:szCs w:val="20"/>
                <w:lang w:val="uk-UA" w:eastAsia="ru-RU"/>
              </w:rPr>
            </w:pPr>
            <w:proofErr w:type="spellStart"/>
            <w:r w:rsidRPr="00CF0EA5">
              <w:rPr>
                <w:rFonts w:ascii="Times New Roman" w:hAnsi="Times New Roman"/>
                <w:sz w:val="20"/>
                <w:szCs w:val="20"/>
                <w:vertAlign w:val="subscript"/>
                <w:lang w:val="uk-UA"/>
              </w:rPr>
              <w:t>.</w:t>
            </w:r>
            <w:r w:rsidR="0090262A" w:rsidRPr="00CF0EA5">
              <w:rPr>
                <w:rFonts w:ascii="Times New Roman" w:eastAsia="Times New Roman" w:hAnsi="Times New Roman"/>
                <w:iCs/>
                <w:sz w:val="20"/>
                <w:szCs w:val="20"/>
                <w:lang w:val="uk-UA" w:eastAsia="ru-RU"/>
              </w:rPr>
              <w:t>Внески</w:t>
            </w:r>
            <w:proofErr w:type="spellEnd"/>
            <w:r w:rsidR="0090262A" w:rsidRPr="00CF0EA5">
              <w:rPr>
                <w:rFonts w:ascii="Times New Roman" w:eastAsia="Times New Roman" w:hAnsi="Times New Roman"/>
                <w:iCs/>
                <w:sz w:val="20"/>
                <w:szCs w:val="20"/>
                <w:lang w:val="uk-UA" w:eastAsia="ru-RU"/>
              </w:rPr>
              <w:t xml:space="preserve"> до статутного фонду </w:t>
            </w:r>
            <w:proofErr w:type="spellStart"/>
            <w:r w:rsidR="0090262A" w:rsidRPr="00CF0EA5">
              <w:rPr>
                <w:rFonts w:ascii="Times New Roman" w:eastAsia="Times New Roman" w:hAnsi="Times New Roman"/>
                <w:iCs/>
                <w:sz w:val="20"/>
                <w:szCs w:val="20"/>
                <w:lang w:val="uk-UA" w:eastAsia="ru-RU"/>
              </w:rPr>
              <w:t>КП</w:t>
            </w:r>
            <w:proofErr w:type="spellEnd"/>
            <w:r w:rsidR="0090262A" w:rsidRPr="00CF0EA5">
              <w:rPr>
                <w:rFonts w:ascii="Times New Roman" w:eastAsia="Times New Roman" w:hAnsi="Times New Roman"/>
                <w:iCs/>
                <w:sz w:val="20"/>
                <w:szCs w:val="20"/>
                <w:lang w:val="uk-UA" w:eastAsia="ru-RU"/>
              </w:rPr>
              <w:t xml:space="preserve"> "</w:t>
            </w:r>
            <w:proofErr w:type="spellStart"/>
            <w:r w:rsidR="0090262A" w:rsidRPr="00CF0EA5">
              <w:rPr>
                <w:rFonts w:ascii="Times New Roman" w:eastAsia="Times New Roman" w:hAnsi="Times New Roman"/>
                <w:iCs/>
                <w:sz w:val="20"/>
                <w:szCs w:val="20"/>
                <w:lang w:val="uk-UA" w:eastAsia="ru-RU"/>
              </w:rPr>
              <w:t>Новосергіївське</w:t>
            </w:r>
            <w:proofErr w:type="spellEnd"/>
            <w:r w:rsidR="0090262A" w:rsidRPr="00CF0EA5">
              <w:rPr>
                <w:rFonts w:ascii="Times New Roman" w:eastAsia="Times New Roman" w:hAnsi="Times New Roman"/>
                <w:iCs/>
                <w:sz w:val="20"/>
                <w:szCs w:val="20"/>
                <w:lang w:val="uk-UA" w:eastAsia="ru-RU"/>
              </w:rPr>
              <w:t xml:space="preserve">", </w:t>
            </w:r>
            <w:proofErr w:type="spellStart"/>
            <w:r w:rsidR="0090262A" w:rsidRPr="00CF0EA5">
              <w:rPr>
                <w:rFonts w:ascii="Times New Roman" w:eastAsia="Times New Roman" w:hAnsi="Times New Roman"/>
                <w:iCs/>
                <w:sz w:val="20"/>
                <w:szCs w:val="20"/>
                <w:lang w:val="uk-UA" w:eastAsia="ru-RU"/>
              </w:rPr>
              <w:t>КП</w:t>
            </w:r>
            <w:proofErr w:type="spellEnd"/>
            <w:r w:rsidR="0090262A" w:rsidRPr="00CF0EA5">
              <w:rPr>
                <w:rFonts w:ascii="Times New Roman" w:eastAsia="Times New Roman" w:hAnsi="Times New Roman"/>
                <w:iCs/>
                <w:sz w:val="20"/>
                <w:szCs w:val="20"/>
                <w:lang w:val="uk-UA" w:eastAsia="ru-RU"/>
              </w:rPr>
              <w:t xml:space="preserve"> "</w:t>
            </w:r>
            <w:proofErr w:type="spellStart"/>
            <w:r w:rsidR="0090262A" w:rsidRPr="00CF0EA5">
              <w:rPr>
                <w:rFonts w:ascii="Times New Roman" w:eastAsia="Times New Roman" w:hAnsi="Times New Roman"/>
                <w:iCs/>
                <w:sz w:val="20"/>
                <w:szCs w:val="20"/>
                <w:lang w:val="uk-UA" w:eastAsia="ru-RU"/>
              </w:rPr>
              <w:t>Христофорівське</w:t>
            </w:r>
            <w:proofErr w:type="spellEnd"/>
            <w:r w:rsidR="0090262A" w:rsidRPr="00CF0EA5">
              <w:rPr>
                <w:rFonts w:ascii="Times New Roman" w:eastAsia="Times New Roman" w:hAnsi="Times New Roman"/>
                <w:iCs/>
                <w:sz w:val="20"/>
                <w:szCs w:val="20"/>
                <w:lang w:val="uk-UA" w:eastAsia="ru-RU"/>
              </w:rPr>
              <w:t>"</w:t>
            </w:r>
          </w:p>
        </w:tc>
      </w:tr>
      <w:tr w:rsidR="0090262A" w:rsidRPr="00CF0EA5" w:rsidTr="007A2C9C">
        <w:trPr>
          <w:trHeight w:val="282"/>
        </w:trPr>
        <w:tc>
          <w:tcPr>
            <w:tcW w:w="3982" w:type="dxa"/>
            <w:shd w:val="clear" w:color="auto" w:fill="auto"/>
            <w:hideMark/>
          </w:tcPr>
          <w:p w:rsidR="0090262A" w:rsidRPr="00CF0EA5" w:rsidRDefault="0090262A" w:rsidP="00C869A3">
            <w:pPr>
              <w:spacing w:after="0" w:line="240" w:lineRule="auto"/>
              <w:rPr>
                <w:rFonts w:ascii="Times New Roman" w:eastAsia="Times New Roman" w:hAnsi="Times New Roman"/>
                <w:b/>
                <w:bCs/>
                <w:sz w:val="20"/>
                <w:szCs w:val="20"/>
                <w:lang w:val="uk-UA" w:eastAsia="ru-RU"/>
              </w:rPr>
            </w:pPr>
            <w:r w:rsidRPr="00CF0EA5">
              <w:rPr>
                <w:rFonts w:ascii="Times New Roman" w:eastAsia="Times New Roman" w:hAnsi="Times New Roman"/>
                <w:b/>
                <w:bCs/>
                <w:sz w:val="20"/>
                <w:szCs w:val="20"/>
                <w:lang w:val="uk-UA" w:eastAsia="ru-RU"/>
              </w:rPr>
              <w:t>Показники затрат</w:t>
            </w:r>
          </w:p>
        </w:tc>
        <w:tc>
          <w:tcPr>
            <w:tcW w:w="62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3772"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158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r>
      <w:tr w:rsidR="0090262A" w:rsidRPr="00CF0EA5" w:rsidTr="007A2C9C">
        <w:trPr>
          <w:trHeight w:val="390"/>
        </w:trPr>
        <w:tc>
          <w:tcPr>
            <w:tcW w:w="3982" w:type="dxa"/>
            <w:shd w:val="clear" w:color="auto" w:fill="auto"/>
            <w:hideMark/>
          </w:tcPr>
          <w:p w:rsidR="0090262A" w:rsidRPr="00CF0EA5" w:rsidRDefault="0090262A" w:rsidP="00C869A3">
            <w:pPr>
              <w:spacing w:after="0" w:line="240" w:lineRule="auto"/>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обсяг видатків</w:t>
            </w:r>
          </w:p>
        </w:tc>
        <w:tc>
          <w:tcPr>
            <w:tcW w:w="62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грн.</w:t>
            </w:r>
          </w:p>
        </w:tc>
        <w:tc>
          <w:tcPr>
            <w:tcW w:w="3772"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рішення сесії</w:t>
            </w:r>
          </w:p>
        </w:tc>
        <w:tc>
          <w:tcPr>
            <w:tcW w:w="1583" w:type="dxa"/>
            <w:shd w:val="clear" w:color="auto" w:fill="auto"/>
            <w:vAlign w:val="center"/>
            <w:hideMark/>
          </w:tcPr>
          <w:p w:rsidR="0090262A" w:rsidRPr="00CF0EA5" w:rsidRDefault="0090262A" w:rsidP="00C869A3">
            <w:pPr>
              <w:spacing w:after="0" w:line="240" w:lineRule="auto"/>
              <w:jc w:val="right"/>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84100,0</w:t>
            </w:r>
          </w:p>
        </w:tc>
      </w:tr>
      <w:tr w:rsidR="0090262A" w:rsidRPr="00CF0EA5" w:rsidTr="007A2C9C">
        <w:trPr>
          <w:trHeight w:val="220"/>
        </w:trPr>
        <w:tc>
          <w:tcPr>
            <w:tcW w:w="3982" w:type="dxa"/>
            <w:shd w:val="clear" w:color="auto" w:fill="auto"/>
            <w:hideMark/>
          </w:tcPr>
          <w:p w:rsidR="0090262A" w:rsidRPr="00CF0EA5" w:rsidRDefault="0090262A" w:rsidP="00C869A3">
            <w:pPr>
              <w:spacing w:after="0" w:line="240" w:lineRule="auto"/>
              <w:rPr>
                <w:rFonts w:ascii="Times New Roman" w:eastAsia="Times New Roman" w:hAnsi="Times New Roman"/>
                <w:b/>
                <w:bCs/>
                <w:sz w:val="20"/>
                <w:szCs w:val="20"/>
                <w:lang w:val="uk-UA" w:eastAsia="ru-RU"/>
              </w:rPr>
            </w:pPr>
            <w:r w:rsidRPr="00CF0EA5">
              <w:rPr>
                <w:rFonts w:ascii="Times New Roman" w:eastAsia="Times New Roman" w:hAnsi="Times New Roman"/>
                <w:b/>
                <w:bCs/>
                <w:sz w:val="20"/>
                <w:szCs w:val="20"/>
                <w:lang w:val="uk-UA" w:eastAsia="ru-RU"/>
              </w:rPr>
              <w:t>Показники продукту</w:t>
            </w:r>
          </w:p>
        </w:tc>
        <w:tc>
          <w:tcPr>
            <w:tcW w:w="62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3772"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158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r>
      <w:tr w:rsidR="0090262A" w:rsidRPr="00CF0EA5" w:rsidTr="007A2C9C">
        <w:trPr>
          <w:trHeight w:val="617"/>
        </w:trPr>
        <w:tc>
          <w:tcPr>
            <w:tcW w:w="3982" w:type="dxa"/>
            <w:shd w:val="clear" w:color="auto" w:fill="auto"/>
            <w:hideMark/>
          </w:tcPr>
          <w:p w:rsidR="0090262A" w:rsidRPr="00CF0EA5" w:rsidRDefault="0090262A" w:rsidP="00C869A3">
            <w:pPr>
              <w:spacing w:after="0" w:line="240" w:lineRule="auto"/>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Розмір статутного капіталу підприємства</w:t>
            </w:r>
          </w:p>
        </w:tc>
        <w:tc>
          <w:tcPr>
            <w:tcW w:w="623"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грн.</w:t>
            </w:r>
          </w:p>
        </w:tc>
        <w:tc>
          <w:tcPr>
            <w:tcW w:w="3772" w:type="dxa"/>
            <w:shd w:val="clear" w:color="auto" w:fill="auto"/>
            <w:vAlign w:val="center"/>
            <w:hideMark/>
          </w:tcPr>
          <w:p w:rsidR="0090262A" w:rsidRPr="00CF0EA5" w:rsidRDefault="0090262A" w:rsidP="00C869A3">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xml:space="preserve">Баланс </w:t>
            </w:r>
            <w:proofErr w:type="spellStart"/>
            <w:r w:rsidRPr="00CF0EA5">
              <w:rPr>
                <w:rFonts w:ascii="Times New Roman" w:eastAsia="Times New Roman" w:hAnsi="Times New Roman"/>
                <w:sz w:val="20"/>
                <w:szCs w:val="20"/>
                <w:lang w:val="uk-UA" w:eastAsia="ru-RU"/>
              </w:rPr>
              <w:t>КП</w:t>
            </w:r>
            <w:proofErr w:type="spellEnd"/>
            <w:r w:rsidRPr="00CF0EA5">
              <w:rPr>
                <w:rFonts w:ascii="Times New Roman" w:eastAsia="Times New Roman" w:hAnsi="Times New Roman"/>
                <w:sz w:val="20"/>
                <w:szCs w:val="20"/>
                <w:lang w:val="uk-UA" w:eastAsia="ru-RU"/>
              </w:rPr>
              <w:t xml:space="preserve"> "</w:t>
            </w:r>
            <w:proofErr w:type="spellStart"/>
            <w:r w:rsidRPr="00CF0EA5">
              <w:rPr>
                <w:rFonts w:ascii="Times New Roman" w:eastAsia="Times New Roman" w:hAnsi="Times New Roman"/>
                <w:sz w:val="20"/>
                <w:szCs w:val="20"/>
                <w:lang w:val="uk-UA" w:eastAsia="ru-RU"/>
              </w:rPr>
              <w:t>Новосергіївське</w:t>
            </w:r>
            <w:proofErr w:type="spellEnd"/>
            <w:r w:rsidRPr="00CF0EA5">
              <w:rPr>
                <w:rFonts w:ascii="Times New Roman" w:eastAsia="Times New Roman" w:hAnsi="Times New Roman"/>
                <w:sz w:val="20"/>
                <w:szCs w:val="20"/>
                <w:lang w:val="uk-UA" w:eastAsia="ru-RU"/>
              </w:rPr>
              <w:t xml:space="preserve">", </w:t>
            </w:r>
            <w:proofErr w:type="spellStart"/>
            <w:r w:rsidRPr="00CF0EA5">
              <w:rPr>
                <w:rFonts w:ascii="Times New Roman" w:eastAsia="Times New Roman" w:hAnsi="Times New Roman"/>
                <w:sz w:val="20"/>
                <w:szCs w:val="20"/>
                <w:lang w:val="uk-UA" w:eastAsia="ru-RU"/>
              </w:rPr>
              <w:t>КП</w:t>
            </w:r>
            <w:proofErr w:type="spellEnd"/>
            <w:r w:rsidRPr="00CF0EA5">
              <w:rPr>
                <w:rFonts w:ascii="Times New Roman" w:eastAsia="Times New Roman" w:hAnsi="Times New Roman"/>
                <w:sz w:val="20"/>
                <w:szCs w:val="20"/>
                <w:lang w:val="uk-UA" w:eastAsia="ru-RU"/>
              </w:rPr>
              <w:t xml:space="preserve"> "</w:t>
            </w:r>
            <w:proofErr w:type="spellStart"/>
            <w:r w:rsidRPr="00CF0EA5">
              <w:rPr>
                <w:rFonts w:ascii="Times New Roman" w:eastAsia="Times New Roman" w:hAnsi="Times New Roman"/>
                <w:sz w:val="20"/>
                <w:szCs w:val="20"/>
                <w:lang w:val="uk-UA" w:eastAsia="ru-RU"/>
              </w:rPr>
              <w:t>Христофорівське</w:t>
            </w:r>
            <w:proofErr w:type="spellEnd"/>
            <w:r w:rsidRPr="00CF0EA5">
              <w:rPr>
                <w:rFonts w:ascii="Times New Roman" w:eastAsia="Times New Roman" w:hAnsi="Times New Roman"/>
                <w:sz w:val="20"/>
                <w:szCs w:val="20"/>
                <w:lang w:val="uk-UA" w:eastAsia="ru-RU"/>
              </w:rPr>
              <w:t>"</w:t>
            </w:r>
          </w:p>
        </w:tc>
        <w:tc>
          <w:tcPr>
            <w:tcW w:w="1583" w:type="dxa"/>
            <w:shd w:val="clear" w:color="auto" w:fill="auto"/>
            <w:vAlign w:val="center"/>
            <w:hideMark/>
          </w:tcPr>
          <w:p w:rsidR="0090262A" w:rsidRPr="00CF0EA5" w:rsidRDefault="0090262A" w:rsidP="00C869A3">
            <w:pPr>
              <w:spacing w:after="0" w:line="240" w:lineRule="auto"/>
              <w:jc w:val="right"/>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57200,00</w:t>
            </w:r>
          </w:p>
        </w:tc>
      </w:tr>
      <w:tr w:rsidR="0090262A" w:rsidRPr="00CF0EA5" w:rsidTr="007A2C9C">
        <w:trPr>
          <w:trHeight w:val="260"/>
        </w:trPr>
        <w:tc>
          <w:tcPr>
            <w:tcW w:w="3982" w:type="dxa"/>
            <w:shd w:val="clear" w:color="auto" w:fill="auto"/>
            <w:hideMark/>
          </w:tcPr>
          <w:p w:rsidR="0090262A" w:rsidRPr="00CF0EA5" w:rsidRDefault="0090262A" w:rsidP="0087443B">
            <w:pPr>
              <w:spacing w:after="0" w:line="240" w:lineRule="auto"/>
              <w:rPr>
                <w:rFonts w:ascii="Times New Roman" w:eastAsia="Times New Roman" w:hAnsi="Times New Roman"/>
                <w:b/>
                <w:bCs/>
                <w:sz w:val="20"/>
                <w:szCs w:val="20"/>
                <w:lang w:val="uk-UA" w:eastAsia="ru-RU"/>
              </w:rPr>
            </w:pPr>
            <w:r w:rsidRPr="00CF0EA5">
              <w:rPr>
                <w:rFonts w:ascii="Times New Roman" w:eastAsia="Times New Roman" w:hAnsi="Times New Roman"/>
                <w:b/>
                <w:bCs/>
                <w:sz w:val="20"/>
                <w:szCs w:val="20"/>
                <w:lang w:val="uk-UA" w:eastAsia="ru-RU"/>
              </w:rPr>
              <w:t xml:space="preserve">Показники якості </w:t>
            </w:r>
          </w:p>
        </w:tc>
        <w:tc>
          <w:tcPr>
            <w:tcW w:w="623" w:type="dxa"/>
            <w:shd w:val="clear" w:color="auto" w:fill="auto"/>
            <w:vAlign w:val="center"/>
            <w:hideMark/>
          </w:tcPr>
          <w:p w:rsidR="0090262A" w:rsidRPr="00CF0EA5" w:rsidRDefault="0090262A" w:rsidP="0087443B">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3772" w:type="dxa"/>
            <w:shd w:val="clear" w:color="auto" w:fill="auto"/>
            <w:vAlign w:val="center"/>
            <w:hideMark/>
          </w:tcPr>
          <w:p w:rsidR="0090262A" w:rsidRPr="00CF0EA5" w:rsidRDefault="0090262A" w:rsidP="0087443B">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c>
          <w:tcPr>
            <w:tcW w:w="1583" w:type="dxa"/>
            <w:shd w:val="clear" w:color="auto" w:fill="auto"/>
            <w:vAlign w:val="center"/>
            <w:hideMark/>
          </w:tcPr>
          <w:p w:rsidR="0090262A" w:rsidRPr="00CF0EA5" w:rsidRDefault="0090262A" w:rsidP="0087443B">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 </w:t>
            </w:r>
          </w:p>
        </w:tc>
      </w:tr>
      <w:tr w:rsidR="0090262A" w:rsidRPr="00CF0EA5" w:rsidTr="007A2C9C">
        <w:trPr>
          <w:trHeight w:val="675"/>
        </w:trPr>
        <w:tc>
          <w:tcPr>
            <w:tcW w:w="3982" w:type="dxa"/>
            <w:shd w:val="clear" w:color="auto" w:fill="auto"/>
            <w:hideMark/>
          </w:tcPr>
          <w:p w:rsidR="0090262A" w:rsidRPr="00CF0EA5" w:rsidRDefault="0090262A" w:rsidP="0087443B">
            <w:pPr>
              <w:spacing w:after="0" w:line="240" w:lineRule="auto"/>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Співвідношення суми поповнення статутного капіталу до розміру статутного капіталу на початок року</w:t>
            </w:r>
          </w:p>
        </w:tc>
        <w:tc>
          <w:tcPr>
            <w:tcW w:w="623" w:type="dxa"/>
            <w:shd w:val="clear" w:color="auto" w:fill="auto"/>
            <w:hideMark/>
          </w:tcPr>
          <w:p w:rsidR="0090262A" w:rsidRPr="00CF0EA5" w:rsidRDefault="0090262A" w:rsidP="0087443B">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w:t>
            </w:r>
          </w:p>
        </w:tc>
        <w:tc>
          <w:tcPr>
            <w:tcW w:w="3772" w:type="dxa"/>
            <w:shd w:val="clear" w:color="auto" w:fill="auto"/>
            <w:hideMark/>
          </w:tcPr>
          <w:p w:rsidR="0090262A" w:rsidRPr="00CF0EA5" w:rsidRDefault="0090262A" w:rsidP="0087443B">
            <w:pPr>
              <w:spacing w:after="0" w:line="240" w:lineRule="auto"/>
              <w:jc w:val="center"/>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розрахунок</w:t>
            </w:r>
          </w:p>
        </w:tc>
        <w:tc>
          <w:tcPr>
            <w:tcW w:w="1583" w:type="dxa"/>
            <w:shd w:val="clear" w:color="auto" w:fill="auto"/>
            <w:hideMark/>
          </w:tcPr>
          <w:p w:rsidR="0090262A" w:rsidRPr="00CF0EA5" w:rsidRDefault="0090262A" w:rsidP="0087443B">
            <w:pPr>
              <w:spacing w:after="0" w:line="240" w:lineRule="auto"/>
              <w:jc w:val="right"/>
              <w:rPr>
                <w:rFonts w:ascii="Times New Roman" w:eastAsia="Times New Roman" w:hAnsi="Times New Roman"/>
                <w:sz w:val="20"/>
                <w:szCs w:val="20"/>
                <w:lang w:val="uk-UA" w:eastAsia="ru-RU"/>
              </w:rPr>
            </w:pPr>
            <w:r w:rsidRPr="00CF0EA5">
              <w:rPr>
                <w:rFonts w:ascii="Times New Roman" w:eastAsia="Times New Roman" w:hAnsi="Times New Roman"/>
                <w:sz w:val="20"/>
                <w:szCs w:val="20"/>
                <w:lang w:val="uk-UA" w:eastAsia="ru-RU"/>
              </w:rPr>
              <w:t>1,47</w:t>
            </w:r>
          </w:p>
        </w:tc>
      </w:tr>
    </w:tbl>
    <w:p w:rsidR="00F263E8" w:rsidRPr="00CF0EA5" w:rsidRDefault="00F263E8" w:rsidP="0087443B">
      <w:pPr>
        <w:spacing w:after="0" w:line="240" w:lineRule="auto"/>
        <w:rPr>
          <w:rFonts w:ascii="Times New Roman" w:eastAsia="Times New Roman" w:hAnsi="Times New Roman"/>
          <w:color w:val="000000"/>
          <w:lang w:val="uk-UA" w:eastAsia="ru-RU"/>
        </w:rPr>
      </w:pPr>
    </w:p>
    <w:p w:rsidR="00F263E8" w:rsidRPr="003E1353" w:rsidRDefault="0087443B" w:rsidP="00F263E8">
      <w:pPr>
        <w:spacing w:after="0" w:line="240" w:lineRule="auto"/>
        <w:jc w:val="both"/>
        <w:rPr>
          <w:rFonts w:ascii="Times New Roman" w:hAnsi="Times New Roman"/>
          <w:b/>
          <w:lang w:val="uk-UA"/>
        </w:rPr>
      </w:pPr>
      <w:r w:rsidRPr="003E1353">
        <w:rPr>
          <w:rFonts w:ascii="Times New Roman" w:eastAsia="Times New Roman" w:hAnsi="Times New Roman"/>
          <w:color w:val="000000"/>
          <w:lang w:val="uk-UA" w:eastAsia="ru-RU"/>
        </w:rPr>
        <w:lastRenderedPageBreak/>
        <w:t>Результативні показники виписані  не у відповідності до типового переліку (Наказ 945)</w:t>
      </w:r>
      <w:r w:rsidR="0083763F" w:rsidRPr="003E1353">
        <w:rPr>
          <w:rFonts w:ascii="Times New Roman" w:eastAsia="Times New Roman" w:hAnsi="Times New Roman"/>
          <w:color w:val="000000"/>
          <w:lang w:val="uk-UA" w:eastAsia="ru-RU"/>
        </w:rPr>
        <w:t>, яким</w:t>
      </w:r>
      <w:r w:rsidRPr="003E1353">
        <w:rPr>
          <w:rFonts w:ascii="Times New Roman" w:hAnsi="Times New Roman"/>
          <w:lang w:val="uk-UA"/>
        </w:rPr>
        <w:t xml:space="preserve">  передбачено</w:t>
      </w:r>
      <w:r w:rsidR="0083763F" w:rsidRPr="003E1353">
        <w:rPr>
          <w:rFonts w:ascii="Times New Roman" w:hAnsi="Times New Roman"/>
          <w:lang w:val="uk-UA"/>
        </w:rPr>
        <w:t>:</w:t>
      </w:r>
    </w:p>
    <w:p w:rsidR="0090262A" w:rsidRPr="00552B1A" w:rsidRDefault="00F263E8" w:rsidP="00F263E8">
      <w:pPr>
        <w:spacing w:after="0" w:line="240" w:lineRule="auto"/>
        <w:jc w:val="both"/>
        <w:rPr>
          <w:rFonts w:ascii="Times New Roman" w:hAnsi="Times New Roman"/>
          <w:lang w:val="uk-UA"/>
        </w:rPr>
      </w:pPr>
      <w:r w:rsidRPr="00552B1A">
        <w:rPr>
          <w:rFonts w:ascii="Times New Roman" w:hAnsi="Times New Roman"/>
          <w:lang w:val="uk-UA"/>
        </w:rPr>
        <w:t>-</w:t>
      </w:r>
      <w:r w:rsidR="0087443B" w:rsidRPr="00552B1A">
        <w:rPr>
          <w:rFonts w:ascii="Times New Roman" w:hAnsi="Times New Roman"/>
          <w:lang w:val="uk-UA"/>
        </w:rPr>
        <w:t xml:space="preserve"> завдання та результативні показники визначаються окремо для кожного суб'єкта господарювання.</w:t>
      </w:r>
    </w:p>
    <w:p w:rsidR="00F263E8" w:rsidRDefault="00F263E8" w:rsidP="00F263E8">
      <w:pPr>
        <w:spacing w:after="0" w:line="240" w:lineRule="auto"/>
        <w:jc w:val="both"/>
        <w:rPr>
          <w:rFonts w:ascii="Times New Roman" w:hAnsi="Times New Roman"/>
          <w:lang w:val="uk-UA"/>
        </w:rPr>
      </w:pPr>
      <w:r w:rsidRPr="00552B1A">
        <w:rPr>
          <w:rFonts w:ascii="Times New Roman" w:hAnsi="Times New Roman"/>
          <w:lang w:val="uk-UA"/>
        </w:rPr>
        <w:t>- в показниках якості відсутній показник типового переліку Наказу 945 «результат фінансової діяльності підприємства на кінець року, тис. грн</w:t>
      </w:r>
      <w:r w:rsidRPr="003E1353">
        <w:rPr>
          <w:rFonts w:ascii="Times New Roman" w:hAnsi="Times New Roman"/>
          <w:lang w:val="uk-UA"/>
        </w:rPr>
        <w:t>.»</w:t>
      </w:r>
    </w:p>
    <w:p w:rsidR="007A2C9C" w:rsidRPr="003E1353" w:rsidRDefault="007A2C9C" w:rsidP="00F263E8">
      <w:pPr>
        <w:spacing w:after="0" w:line="240" w:lineRule="auto"/>
        <w:jc w:val="both"/>
        <w:rPr>
          <w:rFonts w:ascii="Times New Roman" w:hAnsi="Times New Roman"/>
          <w:b/>
          <w:lang w:val="uk-UA"/>
        </w:rPr>
      </w:pPr>
      <w:r>
        <w:rPr>
          <w:rFonts w:ascii="Times New Roman" w:hAnsi="Times New Roman"/>
          <w:lang w:val="uk-UA"/>
        </w:rPr>
        <w:t>НАКАЗ 945:</w:t>
      </w: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03"/>
        <w:gridCol w:w="3174"/>
        <w:gridCol w:w="4930"/>
      </w:tblGrid>
      <w:tr w:rsidR="00F263E8" w:rsidRPr="00CF0EA5" w:rsidTr="00F263E8">
        <w:trPr>
          <w:tblCellSpacing w:w="22" w:type="dxa"/>
        </w:trPr>
        <w:tc>
          <w:tcPr>
            <w:tcW w:w="921"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b/>
                <w:bCs/>
                <w:sz w:val="20"/>
                <w:szCs w:val="20"/>
                <w:lang w:val="uk-UA"/>
              </w:rPr>
              <w:t>Програма</w:t>
            </w:r>
          </w:p>
        </w:tc>
        <w:tc>
          <w:tcPr>
            <w:tcW w:w="4009" w:type="pct"/>
            <w:gridSpan w:val="2"/>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b/>
                <w:bCs/>
                <w:sz w:val="20"/>
                <w:szCs w:val="20"/>
                <w:lang w:val="uk-UA"/>
              </w:rPr>
              <w:t>Внески до статутного капіталу суб'єктів господарювання</w:t>
            </w:r>
            <w:r w:rsidRPr="00CF0EA5">
              <w:rPr>
                <w:sz w:val="20"/>
                <w:szCs w:val="20"/>
                <w:lang w:val="uk-UA"/>
              </w:rPr>
              <w:br/>
            </w:r>
            <w:r w:rsidRPr="00CF0EA5">
              <w:rPr>
                <w:b/>
                <w:bCs/>
                <w:sz w:val="20"/>
                <w:szCs w:val="20"/>
                <w:lang w:val="uk-UA"/>
              </w:rPr>
              <w:t>(</w:t>
            </w:r>
            <w:r w:rsidRPr="00CF0EA5">
              <w:rPr>
                <w:b/>
                <w:bCs/>
                <w:color w:val="0000FF"/>
                <w:sz w:val="20"/>
                <w:szCs w:val="20"/>
                <w:lang w:val="uk-UA"/>
              </w:rPr>
              <w:t>КТКВК 180409</w:t>
            </w:r>
            <w:r w:rsidRPr="00CF0EA5">
              <w:rPr>
                <w:b/>
                <w:bCs/>
                <w:sz w:val="20"/>
                <w:szCs w:val="20"/>
                <w:lang w:val="uk-UA"/>
              </w:rPr>
              <w:t>)</w:t>
            </w:r>
            <w:r w:rsidRPr="00CF0EA5">
              <w:rPr>
                <w:b/>
                <w:bCs/>
                <w:sz w:val="20"/>
                <w:szCs w:val="20"/>
                <w:vertAlign w:val="superscript"/>
                <w:lang w:val="uk-UA"/>
              </w:rPr>
              <w:t xml:space="preserve"> 7</w:t>
            </w:r>
          </w:p>
        </w:tc>
      </w:tr>
      <w:tr w:rsidR="00F263E8" w:rsidRPr="00CF0EA5" w:rsidTr="00F263E8">
        <w:trPr>
          <w:tblCellSpacing w:w="22" w:type="dxa"/>
        </w:trPr>
        <w:tc>
          <w:tcPr>
            <w:tcW w:w="921"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sz w:val="20"/>
                <w:szCs w:val="20"/>
                <w:lang w:val="uk-UA"/>
              </w:rPr>
              <w:t>Мета</w:t>
            </w:r>
          </w:p>
        </w:tc>
        <w:tc>
          <w:tcPr>
            <w:tcW w:w="4009" w:type="pct"/>
            <w:gridSpan w:val="2"/>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sz w:val="20"/>
                <w:szCs w:val="20"/>
                <w:lang w:val="uk-UA"/>
              </w:rPr>
              <w:t>Підтримка підприємств комунальної форми власності</w:t>
            </w:r>
          </w:p>
        </w:tc>
      </w:tr>
      <w:tr w:rsidR="00F263E8" w:rsidRPr="00CF0EA5" w:rsidTr="00F263E8">
        <w:trPr>
          <w:tblCellSpacing w:w="22" w:type="dxa"/>
        </w:trPr>
        <w:tc>
          <w:tcPr>
            <w:tcW w:w="921" w:type="pct"/>
            <w:vMerge w:val="restar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sz w:val="20"/>
                <w:szCs w:val="20"/>
                <w:lang w:val="uk-UA"/>
              </w:rPr>
              <w:t> </w:t>
            </w:r>
          </w:p>
        </w:tc>
        <w:tc>
          <w:tcPr>
            <w:tcW w:w="1570"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jc w:val="center"/>
              <w:rPr>
                <w:sz w:val="20"/>
                <w:szCs w:val="20"/>
                <w:lang w:val="uk-UA"/>
              </w:rPr>
            </w:pPr>
            <w:r w:rsidRPr="00CF0EA5">
              <w:rPr>
                <w:b/>
                <w:bCs/>
                <w:sz w:val="20"/>
                <w:szCs w:val="20"/>
                <w:lang w:val="uk-UA"/>
              </w:rPr>
              <w:t>Завдання</w:t>
            </w:r>
          </w:p>
        </w:tc>
        <w:tc>
          <w:tcPr>
            <w:tcW w:w="2416"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jc w:val="center"/>
              <w:rPr>
                <w:sz w:val="20"/>
                <w:szCs w:val="20"/>
                <w:lang w:val="uk-UA"/>
              </w:rPr>
            </w:pPr>
            <w:r w:rsidRPr="00CF0EA5">
              <w:rPr>
                <w:b/>
                <w:bCs/>
                <w:sz w:val="20"/>
                <w:szCs w:val="20"/>
                <w:lang w:val="uk-UA"/>
              </w:rPr>
              <w:t>Результативні показники</w:t>
            </w:r>
          </w:p>
        </w:tc>
      </w:tr>
      <w:tr w:rsidR="00F263E8" w:rsidRPr="00CF0EA5" w:rsidTr="00F263E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63E8" w:rsidRPr="00CF0EA5" w:rsidRDefault="00F263E8" w:rsidP="00D0629A">
            <w:pPr>
              <w:rPr>
                <w:sz w:val="20"/>
                <w:szCs w:val="20"/>
                <w:lang w:val="uk-UA"/>
              </w:rPr>
            </w:pPr>
          </w:p>
        </w:tc>
        <w:tc>
          <w:tcPr>
            <w:tcW w:w="1570"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sz w:val="20"/>
                <w:szCs w:val="20"/>
                <w:lang w:val="uk-UA"/>
              </w:rPr>
              <w:t>Фінансова підтримка підприємств комунальної форми власності</w:t>
            </w:r>
          </w:p>
        </w:tc>
        <w:tc>
          <w:tcPr>
            <w:tcW w:w="2416" w:type="pct"/>
            <w:tcBorders>
              <w:top w:val="outset" w:sz="6" w:space="0" w:color="auto"/>
              <w:left w:val="outset" w:sz="6" w:space="0" w:color="auto"/>
              <w:bottom w:val="outset" w:sz="6" w:space="0" w:color="auto"/>
              <w:right w:val="outset" w:sz="6" w:space="0" w:color="auto"/>
            </w:tcBorders>
            <w:hideMark/>
          </w:tcPr>
          <w:p w:rsidR="00F263E8" w:rsidRPr="00CF0EA5" w:rsidRDefault="00F263E8" w:rsidP="00D0629A">
            <w:pPr>
              <w:pStyle w:val="a3"/>
              <w:rPr>
                <w:sz w:val="20"/>
                <w:szCs w:val="20"/>
                <w:lang w:val="uk-UA"/>
              </w:rPr>
            </w:pPr>
            <w:r w:rsidRPr="00CF0EA5">
              <w:rPr>
                <w:b/>
                <w:bCs/>
                <w:sz w:val="20"/>
                <w:szCs w:val="20"/>
                <w:lang w:val="uk-UA"/>
              </w:rPr>
              <w:t>Показники затрат:</w:t>
            </w:r>
            <w:r w:rsidRPr="00CF0EA5">
              <w:rPr>
                <w:sz w:val="20"/>
                <w:szCs w:val="20"/>
                <w:lang w:val="uk-UA"/>
              </w:rPr>
              <w:br/>
              <w:t>результат фінансової діяльності підприємства на початок року, тис. грн.</w:t>
            </w:r>
            <w:r w:rsidRPr="00CF0EA5">
              <w:rPr>
                <w:sz w:val="20"/>
                <w:szCs w:val="20"/>
                <w:lang w:val="uk-UA"/>
              </w:rPr>
              <w:br/>
            </w:r>
            <w:r w:rsidRPr="00CF0EA5">
              <w:rPr>
                <w:b/>
                <w:bCs/>
                <w:sz w:val="20"/>
                <w:szCs w:val="20"/>
                <w:lang w:val="uk-UA"/>
              </w:rPr>
              <w:t>Показники якості:</w:t>
            </w:r>
            <w:r w:rsidRPr="00CF0EA5">
              <w:rPr>
                <w:sz w:val="20"/>
                <w:szCs w:val="20"/>
                <w:lang w:val="uk-UA"/>
              </w:rPr>
              <w:br/>
              <w:t>співвідношення суми поповнення статутного капіталу до розміру статутного капіталу на початок року, %;</w:t>
            </w:r>
            <w:r w:rsidRPr="00CF0EA5">
              <w:rPr>
                <w:sz w:val="20"/>
                <w:szCs w:val="20"/>
                <w:lang w:val="uk-UA"/>
              </w:rPr>
              <w:br/>
              <w:t>результат фінансової діяльності підприємства на кінець року, тис. грн.</w:t>
            </w:r>
          </w:p>
        </w:tc>
      </w:tr>
    </w:tbl>
    <w:p w:rsidR="003C37F5" w:rsidRPr="00CF0EA5" w:rsidRDefault="003C37F5" w:rsidP="0087443B">
      <w:pPr>
        <w:spacing w:after="0" w:line="240" w:lineRule="auto"/>
        <w:rPr>
          <w:rFonts w:ascii="Times New Roman" w:hAnsi="Times New Roman"/>
          <w:b/>
          <w:lang w:val="uk-UA"/>
        </w:rPr>
      </w:pPr>
    </w:p>
    <w:p w:rsidR="00DF1FEF" w:rsidRPr="00C869A3" w:rsidRDefault="0087443B" w:rsidP="00C869A3">
      <w:pPr>
        <w:pStyle w:val="a4"/>
        <w:numPr>
          <w:ilvl w:val="0"/>
          <w:numId w:val="7"/>
        </w:numPr>
        <w:spacing w:after="0" w:line="240" w:lineRule="auto"/>
        <w:jc w:val="center"/>
        <w:rPr>
          <w:rFonts w:ascii="Times New Roman" w:hAnsi="Times New Roman"/>
          <w:b/>
          <w:lang w:val="uk-UA"/>
        </w:rPr>
      </w:pPr>
      <w:r w:rsidRPr="00C869A3">
        <w:rPr>
          <w:rFonts w:ascii="Times New Roman" w:hAnsi="Times New Roman"/>
          <w:b/>
          <w:lang w:val="uk-UA"/>
        </w:rPr>
        <w:t xml:space="preserve">ПБП 0117420 </w:t>
      </w:r>
      <w:r w:rsidR="003C37F5" w:rsidRPr="00C869A3">
        <w:rPr>
          <w:rFonts w:ascii="Times New Roman" w:hAnsi="Times New Roman"/>
          <w:b/>
          <w:lang w:val="uk-UA"/>
        </w:rPr>
        <w:t>«</w:t>
      </w:r>
      <w:r w:rsidRPr="00C869A3">
        <w:rPr>
          <w:rFonts w:ascii="Times New Roman" w:eastAsia="Times New Roman" w:hAnsi="Times New Roman"/>
          <w:b/>
          <w:color w:val="000000"/>
          <w:sz w:val="22"/>
          <w:szCs w:val="22"/>
          <w:lang w:val="uk-UA" w:eastAsia="ru-RU"/>
        </w:rPr>
        <w:t>Програма стабілізації та соціально-економічного розвитку територій</w:t>
      </w:r>
      <w:r w:rsidR="003C37F5" w:rsidRPr="00C869A3">
        <w:rPr>
          <w:rFonts w:ascii="Times New Roman" w:eastAsia="Times New Roman" w:hAnsi="Times New Roman"/>
          <w:b/>
          <w:color w:val="000000"/>
          <w:sz w:val="22"/>
          <w:szCs w:val="22"/>
          <w:lang w:val="uk-UA" w:eastAsia="ru-RU"/>
        </w:rPr>
        <w:t xml:space="preserve">» </w:t>
      </w:r>
      <w:r w:rsidRPr="00C869A3">
        <w:rPr>
          <w:rFonts w:ascii="Times New Roman" w:eastAsia="Times New Roman" w:hAnsi="Times New Roman"/>
          <w:b/>
          <w:color w:val="000000"/>
          <w:sz w:val="22"/>
          <w:szCs w:val="22"/>
          <w:lang w:val="uk-UA" w:eastAsia="ru-RU"/>
        </w:rPr>
        <w:t>– 0 балів</w:t>
      </w:r>
    </w:p>
    <w:p w:rsidR="00C869A3" w:rsidRPr="00C869A3" w:rsidRDefault="00C869A3" w:rsidP="00C869A3">
      <w:pPr>
        <w:spacing w:after="0" w:line="240" w:lineRule="auto"/>
        <w:jc w:val="center"/>
        <w:rPr>
          <w:rFonts w:ascii="Times New Roman" w:hAnsi="Times New Roman"/>
          <w:b/>
          <w:lang w:val="uk-UA"/>
        </w:rPr>
      </w:pPr>
      <w:r w:rsidRPr="00C869A3">
        <w:rPr>
          <w:rFonts w:ascii="Times New Roman" w:hAnsi="Times New Roman"/>
          <w:b/>
          <w:lang w:val="uk-UA"/>
        </w:rPr>
        <w:t>ГБРК - Баштанська міська рада</w:t>
      </w:r>
    </w:p>
    <w:p w:rsidR="00DF1FEF" w:rsidRPr="00CF0EA5" w:rsidRDefault="0087443B" w:rsidP="0087443B">
      <w:pPr>
        <w:spacing w:after="0" w:line="240" w:lineRule="auto"/>
        <w:rPr>
          <w:rFonts w:ascii="Times New Roman" w:hAnsi="Times New Roman"/>
          <w:lang w:val="uk-UA"/>
        </w:rPr>
      </w:pPr>
      <w:r w:rsidRPr="00CF0EA5">
        <w:rPr>
          <w:rFonts w:ascii="Times New Roman" w:hAnsi="Times New Roman"/>
          <w:lang w:val="uk-UA"/>
        </w:rPr>
        <w:t>Означеним паспортом бюджетної програми передбачені видатки на</w:t>
      </w:r>
      <w:r w:rsidR="00DF1FEF" w:rsidRPr="00CF0EA5">
        <w:rPr>
          <w:rFonts w:ascii="Times New Roman" w:hAnsi="Times New Roman"/>
          <w:lang w:val="uk-UA"/>
        </w:rPr>
        <w:t xml:space="preserve"> розробк</w:t>
      </w:r>
      <w:r w:rsidRPr="00CF0EA5">
        <w:rPr>
          <w:rFonts w:ascii="Times New Roman" w:hAnsi="Times New Roman"/>
          <w:lang w:val="uk-UA"/>
        </w:rPr>
        <w:t>у</w:t>
      </w:r>
      <w:r w:rsidR="00DF1FEF" w:rsidRPr="00CF0EA5">
        <w:rPr>
          <w:rFonts w:ascii="Times New Roman" w:hAnsi="Times New Roman"/>
          <w:lang w:val="uk-UA"/>
        </w:rPr>
        <w:t xml:space="preserve"> генерального плану міста </w:t>
      </w:r>
      <w:proofErr w:type="spellStart"/>
      <w:r w:rsidR="00DF1FEF" w:rsidRPr="00CF0EA5">
        <w:rPr>
          <w:rFonts w:ascii="Times New Roman" w:hAnsi="Times New Roman"/>
          <w:lang w:val="uk-UA"/>
        </w:rPr>
        <w:t>Баштанка</w:t>
      </w:r>
      <w:proofErr w:type="spellEnd"/>
    </w:p>
    <w:tbl>
      <w:tblPr>
        <w:tblW w:w="9413" w:type="dxa"/>
        <w:tblInd w:w="95" w:type="dxa"/>
        <w:tblLook w:val="04A0"/>
      </w:tblPr>
      <w:tblGrid>
        <w:gridCol w:w="1120"/>
        <w:gridCol w:w="3713"/>
        <w:gridCol w:w="1380"/>
        <w:gridCol w:w="1600"/>
        <w:gridCol w:w="1600"/>
      </w:tblGrid>
      <w:tr w:rsidR="00DF1FEF" w:rsidRPr="00CF0EA5" w:rsidTr="00DF1FEF">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0117420</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Програма стабілізації та соціально-економічного розвитку територій</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r>
      <w:tr w:rsidR="00DF1FEF" w:rsidRPr="00CF0EA5" w:rsidTr="00F263E8">
        <w:trPr>
          <w:trHeight w:val="517"/>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i/>
                <w:iCs/>
                <w:color w:val="000000"/>
                <w:sz w:val="20"/>
                <w:szCs w:val="20"/>
                <w:lang w:val="uk-UA" w:eastAsia="ru-RU"/>
              </w:rPr>
            </w:pPr>
            <w:r w:rsidRPr="00CF0EA5">
              <w:rPr>
                <w:rFonts w:ascii="Times New Roman" w:eastAsia="Times New Roman" w:hAnsi="Times New Roman"/>
                <w:i/>
                <w:iCs/>
                <w:color w:val="000000"/>
                <w:sz w:val="20"/>
                <w:szCs w:val="20"/>
                <w:lang w:val="uk-UA" w:eastAsia="ru-RU"/>
              </w:rPr>
              <w:t xml:space="preserve">виготовлення генерального плану міста </w:t>
            </w:r>
            <w:proofErr w:type="spellStart"/>
            <w:r w:rsidRPr="00CF0EA5">
              <w:rPr>
                <w:rFonts w:ascii="Times New Roman" w:eastAsia="Times New Roman" w:hAnsi="Times New Roman"/>
                <w:i/>
                <w:iCs/>
                <w:color w:val="000000"/>
                <w:sz w:val="20"/>
                <w:szCs w:val="20"/>
                <w:lang w:val="uk-UA" w:eastAsia="ru-RU"/>
              </w:rPr>
              <w:t>Баштанка</w:t>
            </w:r>
            <w:proofErr w:type="spellEnd"/>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r>
      <w:tr w:rsidR="00DF1FEF" w:rsidRPr="00CF0EA5" w:rsidTr="00F263E8">
        <w:trPr>
          <w:trHeight w:val="284"/>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Показники затрат</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r>
      <w:tr w:rsidR="00DF1FEF" w:rsidRPr="00CF0EA5" w:rsidTr="00DF1FEF">
        <w:trPr>
          <w:trHeight w:val="33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кількість генеральних планів</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right"/>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1</w:t>
            </w:r>
          </w:p>
        </w:tc>
      </w:tr>
      <w:tr w:rsidR="00DF1FEF" w:rsidRPr="00CF0EA5" w:rsidTr="00F263E8">
        <w:trPr>
          <w:trHeight w:val="349"/>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Показники продукту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right"/>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r>
      <w:tr w:rsidR="00DF1FEF" w:rsidRPr="00CF0EA5" w:rsidTr="00DF1FEF">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 xml:space="preserve">Обсяг видатків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right"/>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199732,00</w:t>
            </w:r>
          </w:p>
        </w:tc>
      </w:tr>
      <w:tr w:rsidR="00DF1FEF" w:rsidRPr="00CF0EA5" w:rsidTr="00DF1FEF">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Показники ефективності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right"/>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r>
      <w:tr w:rsidR="00DF1FEF" w:rsidRPr="00CF0EA5" w:rsidTr="00DF1FEF">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середня  вартість  генерального плану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center"/>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1FEF" w:rsidRPr="00CF0EA5" w:rsidRDefault="00DF1FEF" w:rsidP="0087443B">
            <w:pPr>
              <w:spacing w:after="0" w:line="240" w:lineRule="auto"/>
              <w:jc w:val="right"/>
              <w:rPr>
                <w:rFonts w:ascii="Times New Roman" w:eastAsia="Times New Roman" w:hAnsi="Times New Roman"/>
                <w:color w:val="000000"/>
                <w:sz w:val="20"/>
                <w:szCs w:val="20"/>
                <w:lang w:val="uk-UA" w:eastAsia="ru-RU"/>
              </w:rPr>
            </w:pPr>
            <w:r w:rsidRPr="00CF0EA5">
              <w:rPr>
                <w:rFonts w:ascii="Times New Roman" w:eastAsia="Times New Roman" w:hAnsi="Times New Roman"/>
                <w:color w:val="000000"/>
                <w:sz w:val="20"/>
                <w:szCs w:val="20"/>
                <w:lang w:val="uk-UA" w:eastAsia="ru-RU"/>
              </w:rPr>
              <w:t>199732,00</w:t>
            </w:r>
          </w:p>
        </w:tc>
      </w:tr>
    </w:tbl>
    <w:p w:rsidR="003C37F5" w:rsidRPr="00CF0EA5" w:rsidRDefault="003C37F5" w:rsidP="0087443B">
      <w:pPr>
        <w:spacing w:after="0" w:line="240" w:lineRule="auto"/>
        <w:rPr>
          <w:rFonts w:ascii="Times New Roman" w:hAnsi="Times New Roman"/>
          <w:lang w:val="uk-UA"/>
        </w:rPr>
      </w:pPr>
    </w:p>
    <w:p w:rsidR="00DF1FEF" w:rsidRPr="00CF0EA5" w:rsidRDefault="0087443B" w:rsidP="00F263E8">
      <w:pPr>
        <w:spacing w:after="0" w:line="240" w:lineRule="auto"/>
        <w:jc w:val="both"/>
        <w:rPr>
          <w:rFonts w:ascii="Times New Roman" w:hAnsi="Times New Roman"/>
          <w:lang w:val="uk-UA"/>
        </w:rPr>
      </w:pPr>
      <w:r w:rsidRPr="00CF0EA5">
        <w:rPr>
          <w:rFonts w:ascii="Times New Roman" w:hAnsi="Times New Roman"/>
          <w:lang w:val="uk-UA"/>
        </w:rPr>
        <w:t xml:space="preserve">Наказом 945 по типовій бюджетній програмі передбачений наступний перелік результативних показників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63"/>
        <w:gridCol w:w="3408"/>
        <w:gridCol w:w="4629"/>
      </w:tblGrid>
      <w:tr w:rsidR="00DF1FEF" w:rsidRPr="00CF0EA5" w:rsidTr="0087443B">
        <w:trPr>
          <w:tblCellSpacing w:w="22" w:type="dxa"/>
        </w:trPr>
        <w:tc>
          <w:tcPr>
            <w:tcW w:w="992"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b/>
                <w:bCs/>
                <w:sz w:val="20"/>
                <w:szCs w:val="20"/>
                <w:lang w:val="uk-UA"/>
              </w:rPr>
              <w:t>Програма</w:t>
            </w:r>
          </w:p>
        </w:tc>
        <w:tc>
          <w:tcPr>
            <w:tcW w:w="3938" w:type="pct"/>
            <w:gridSpan w:val="2"/>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b/>
                <w:bCs/>
                <w:sz w:val="20"/>
                <w:szCs w:val="20"/>
                <w:lang w:val="uk-UA"/>
              </w:rPr>
              <w:t>Розробка схем та проектних рішень масового застосування (</w:t>
            </w:r>
            <w:r w:rsidRPr="00CF0EA5">
              <w:rPr>
                <w:b/>
                <w:bCs/>
                <w:color w:val="0000FF"/>
                <w:sz w:val="20"/>
                <w:szCs w:val="20"/>
                <w:lang w:val="uk-UA"/>
              </w:rPr>
              <w:t>КТКВК 150202</w:t>
            </w:r>
            <w:r w:rsidRPr="00CF0EA5">
              <w:rPr>
                <w:b/>
                <w:bCs/>
                <w:sz w:val="20"/>
                <w:szCs w:val="20"/>
                <w:lang w:val="uk-UA"/>
              </w:rPr>
              <w:t>)</w:t>
            </w:r>
          </w:p>
        </w:tc>
      </w:tr>
      <w:tr w:rsidR="00DF1FEF" w:rsidRPr="00CF0EA5" w:rsidTr="0087443B">
        <w:trPr>
          <w:tblCellSpacing w:w="22" w:type="dxa"/>
        </w:trPr>
        <w:tc>
          <w:tcPr>
            <w:tcW w:w="992"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sz w:val="20"/>
                <w:szCs w:val="20"/>
                <w:lang w:val="uk-UA"/>
              </w:rPr>
              <w:t>Мета</w:t>
            </w:r>
          </w:p>
        </w:tc>
        <w:tc>
          <w:tcPr>
            <w:tcW w:w="3938" w:type="pct"/>
            <w:gridSpan w:val="2"/>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sz w:val="20"/>
                <w:szCs w:val="20"/>
                <w:lang w:val="uk-UA"/>
              </w:rPr>
              <w:t>Забезпечення розвитку інфраструктури території</w:t>
            </w:r>
          </w:p>
        </w:tc>
      </w:tr>
      <w:tr w:rsidR="00DF1FEF" w:rsidRPr="00CF0EA5" w:rsidTr="0087443B">
        <w:trPr>
          <w:tblCellSpacing w:w="22" w:type="dxa"/>
        </w:trPr>
        <w:tc>
          <w:tcPr>
            <w:tcW w:w="992" w:type="pct"/>
            <w:vMerge w:val="restar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sz w:val="20"/>
                <w:szCs w:val="20"/>
                <w:lang w:val="uk-UA"/>
              </w:rPr>
              <w:t> </w:t>
            </w:r>
          </w:p>
        </w:tc>
        <w:tc>
          <w:tcPr>
            <w:tcW w:w="1671"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jc w:val="center"/>
              <w:rPr>
                <w:sz w:val="20"/>
                <w:szCs w:val="20"/>
                <w:lang w:val="uk-UA"/>
              </w:rPr>
            </w:pPr>
            <w:r w:rsidRPr="00CF0EA5">
              <w:rPr>
                <w:b/>
                <w:bCs/>
                <w:sz w:val="20"/>
                <w:szCs w:val="20"/>
                <w:lang w:val="uk-UA"/>
              </w:rPr>
              <w:t>Завдання</w:t>
            </w:r>
          </w:p>
        </w:tc>
        <w:tc>
          <w:tcPr>
            <w:tcW w:w="2245"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jc w:val="center"/>
              <w:rPr>
                <w:sz w:val="20"/>
                <w:szCs w:val="20"/>
                <w:lang w:val="uk-UA"/>
              </w:rPr>
            </w:pPr>
            <w:r w:rsidRPr="00CF0EA5">
              <w:rPr>
                <w:b/>
                <w:bCs/>
                <w:sz w:val="20"/>
                <w:szCs w:val="20"/>
                <w:lang w:val="uk-UA"/>
              </w:rPr>
              <w:t>Результативні показники</w:t>
            </w:r>
          </w:p>
        </w:tc>
      </w:tr>
      <w:tr w:rsidR="00DF1FEF" w:rsidRPr="00CF0EA5" w:rsidTr="0087443B">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1FEF" w:rsidRPr="00CF0EA5" w:rsidRDefault="00DF1FEF" w:rsidP="0087443B">
            <w:pPr>
              <w:spacing w:after="0" w:line="240" w:lineRule="auto"/>
              <w:rPr>
                <w:rFonts w:ascii="Times New Roman" w:hAnsi="Times New Roman"/>
                <w:sz w:val="20"/>
                <w:szCs w:val="20"/>
                <w:lang w:val="uk-UA"/>
              </w:rPr>
            </w:pPr>
          </w:p>
        </w:tc>
        <w:tc>
          <w:tcPr>
            <w:tcW w:w="1671"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sz w:val="20"/>
                <w:szCs w:val="20"/>
                <w:lang w:val="uk-UA"/>
              </w:rPr>
              <w:t>Здійснення розробки проектної та містобудівної документації</w:t>
            </w:r>
          </w:p>
        </w:tc>
        <w:tc>
          <w:tcPr>
            <w:tcW w:w="2245" w:type="pct"/>
            <w:tcBorders>
              <w:top w:val="outset" w:sz="6" w:space="0" w:color="auto"/>
              <w:left w:val="outset" w:sz="6" w:space="0" w:color="auto"/>
              <w:bottom w:val="outset" w:sz="6" w:space="0" w:color="auto"/>
              <w:right w:val="outset" w:sz="6" w:space="0" w:color="auto"/>
            </w:tcBorders>
            <w:hideMark/>
          </w:tcPr>
          <w:p w:rsidR="00DF1FEF" w:rsidRPr="00CF0EA5" w:rsidRDefault="00DF1FEF" w:rsidP="0087443B">
            <w:pPr>
              <w:pStyle w:val="a3"/>
              <w:spacing w:before="0" w:beforeAutospacing="0" w:after="0" w:afterAutospacing="0"/>
              <w:rPr>
                <w:sz w:val="20"/>
                <w:szCs w:val="20"/>
                <w:lang w:val="uk-UA"/>
              </w:rPr>
            </w:pPr>
            <w:r w:rsidRPr="00CF0EA5">
              <w:rPr>
                <w:b/>
                <w:bCs/>
                <w:sz w:val="20"/>
                <w:szCs w:val="20"/>
                <w:lang w:val="uk-UA"/>
              </w:rPr>
              <w:t>Показники затрат:</w:t>
            </w:r>
            <w:r w:rsidRPr="00CF0EA5">
              <w:rPr>
                <w:sz w:val="20"/>
                <w:szCs w:val="20"/>
                <w:lang w:val="uk-UA"/>
              </w:rPr>
              <w:br/>
              <w:t>обсяг видатків, тис. грн.</w:t>
            </w:r>
            <w:r w:rsidRPr="00CF0EA5">
              <w:rPr>
                <w:sz w:val="20"/>
                <w:szCs w:val="20"/>
                <w:lang w:val="uk-UA"/>
              </w:rPr>
              <w:br/>
            </w:r>
            <w:r w:rsidRPr="00CF0EA5">
              <w:rPr>
                <w:b/>
                <w:bCs/>
                <w:sz w:val="20"/>
                <w:szCs w:val="20"/>
                <w:lang w:val="uk-UA"/>
              </w:rPr>
              <w:t>Показники продукту:</w:t>
            </w:r>
            <w:r w:rsidRPr="00CF0EA5">
              <w:rPr>
                <w:sz w:val="20"/>
                <w:szCs w:val="20"/>
                <w:lang w:val="uk-UA"/>
              </w:rPr>
              <w:br/>
              <w:t>кількість проектів (комплектів проектної та містобудівної документації тощо), од.</w:t>
            </w:r>
            <w:r w:rsidRPr="00CF0EA5">
              <w:rPr>
                <w:sz w:val="20"/>
                <w:szCs w:val="20"/>
                <w:lang w:val="uk-UA"/>
              </w:rPr>
              <w:br/>
            </w:r>
            <w:r w:rsidRPr="00CF0EA5">
              <w:rPr>
                <w:b/>
                <w:bCs/>
                <w:sz w:val="20"/>
                <w:szCs w:val="20"/>
                <w:lang w:val="uk-UA"/>
              </w:rPr>
              <w:t>Показники ефективності:</w:t>
            </w:r>
            <w:r w:rsidRPr="00CF0EA5">
              <w:rPr>
                <w:sz w:val="20"/>
                <w:szCs w:val="20"/>
                <w:lang w:val="uk-UA"/>
              </w:rPr>
              <w:br/>
              <w:t xml:space="preserve">середні видатки на розробку одного проекту, </w:t>
            </w:r>
            <w:r w:rsidRPr="00CF0EA5">
              <w:rPr>
                <w:sz w:val="20"/>
                <w:szCs w:val="20"/>
                <w:lang w:val="uk-UA"/>
              </w:rPr>
              <w:br/>
              <w:t>тис. грн.</w:t>
            </w:r>
            <w:r w:rsidRPr="00CF0EA5">
              <w:rPr>
                <w:sz w:val="20"/>
                <w:szCs w:val="20"/>
                <w:lang w:val="uk-UA"/>
              </w:rPr>
              <w:br/>
            </w:r>
            <w:r w:rsidRPr="00CF0EA5">
              <w:rPr>
                <w:b/>
                <w:bCs/>
                <w:sz w:val="20"/>
                <w:szCs w:val="20"/>
                <w:lang w:val="uk-UA"/>
              </w:rPr>
              <w:t>Показники якості:</w:t>
            </w:r>
            <w:r w:rsidRPr="00CF0EA5">
              <w:rPr>
                <w:sz w:val="20"/>
                <w:szCs w:val="20"/>
                <w:lang w:val="uk-UA"/>
              </w:rPr>
              <w:br/>
              <w:t xml:space="preserve">рівень готовності документації (в розрізі проектів), </w:t>
            </w:r>
            <w:r w:rsidRPr="00CF0EA5">
              <w:rPr>
                <w:sz w:val="20"/>
                <w:szCs w:val="20"/>
                <w:lang w:val="uk-UA"/>
              </w:rPr>
              <w:lastRenderedPageBreak/>
              <w:t>%</w:t>
            </w:r>
          </w:p>
        </w:tc>
      </w:tr>
    </w:tbl>
    <w:p w:rsidR="002279B4" w:rsidRPr="00CF0EA5" w:rsidRDefault="0087443B" w:rsidP="0087443B">
      <w:pPr>
        <w:spacing w:after="0" w:line="240" w:lineRule="auto"/>
        <w:rPr>
          <w:rFonts w:ascii="Times New Roman" w:hAnsi="Times New Roman"/>
          <w:lang w:val="uk-UA"/>
        </w:rPr>
      </w:pPr>
      <w:r w:rsidRPr="00CF0EA5">
        <w:rPr>
          <w:rFonts w:ascii="Times New Roman" w:hAnsi="Times New Roman"/>
          <w:lang w:val="uk-UA"/>
        </w:rPr>
        <w:lastRenderedPageBreak/>
        <w:t>Не визначений показник якості</w:t>
      </w:r>
      <w:r w:rsidR="00F263E8" w:rsidRPr="00CF0EA5">
        <w:rPr>
          <w:rFonts w:ascii="Times New Roman" w:hAnsi="Times New Roman"/>
          <w:lang w:val="uk-UA"/>
        </w:rPr>
        <w:t xml:space="preserve"> - запланований  рівень готовності документації (в розрізі проектів), %</w:t>
      </w:r>
    </w:p>
    <w:p w:rsidR="002279B4" w:rsidRPr="00C869A3" w:rsidRDefault="004D2928" w:rsidP="00C869A3">
      <w:pPr>
        <w:pStyle w:val="a4"/>
        <w:numPr>
          <w:ilvl w:val="0"/>
          <w:numId w:val="7"/>
        </w:numPr>
        <w:spacing w:after="0" w:line="240" w:lineRule="auto"/>
        <w:jc w:val="center"/>
        <w:rPr>
          <w:rFonts w:ascii="Times New Roman" w:hAnsi="Times New Roman"/>
          <w:b/>
          <w:lang w:val="uk-UA"/>
        </w:rPr>
      </w:pPr>
      <w:r w:rsidRPr="00C869A3">
        <w:rPr>
          <w:rFonts w:ascii="Times New Roman" w:hAnsi="Times New Roman"/>
          <w:b/>
          <w:lang w:val="uk-UA"/>
        </w:rPr>
        <w:t xml:space="preserve">ПБП </w:t>
      </w:r>
      <w:r w:rsidR="00C869A3">
        <w:rPr>
          <w:rFonts w:ascii="Times New Roman" w:hAnsi="Times New Roman"/>
          <w:b/>
          <w:lang w:val="uk-UA"/>
        </w:rPr>
        <w:t>«</w:t>
      </w:r>
      <w:r w:rsidRPr="00C869A3">
        <w:rPr>
          <w:rFonts w:ascii="Times New Roman" w:eastAsia="Times New Roman" w:hAnsi="Times New Roman"/>
          <w:b/>
          <w:color w:val="000000"/>
          <w:sz w:val="22"/>
          <w:szCs w:val="22"/>
          <w:lang w:val="uk-UA" w:eastAsia="ru-RU"/>
        </w:rPr>
        <w:t>Будівництво</w:t>
      </w:r>
      <w:r w:rsidR="00C869A3">
        <w:rPr>
          <w:rFonts w:ascii="Times New Roman" w:eastAsia="Times New Roman" w:hAnsi="Times New Roman"/>
          <w:b/>
          <w:color w:val="000000"/>
          <w:sz w:val="22"/>
          <w:szCs w:val="22"/>
          <w:lang w:val="uk-UA" w:eastAsia="ru-RU"/>
        </w:rPr>
        <w:t>»</w:t>
      </w:r>
      <w:r w:rsidRPr="00C869A3">
        <w:rPr>
          <w:rFonts w:ascii="Times New Roman" w:eastAsia="Times New Roman" w:hAnsi="Times New Roman"/>
          <w:b/>
          <w:color w:val="000000"/>
          <w:sz w:val="22"/>
          <w:szCs w:val="22"/>
          <w:lang w:val="uk-UA" w:eastAsia="ru-RU"/>
        </w:rPr>
        <w:t xml:space="preserve"> – 0 балів</w:t>
      </w:r>
    </w:p>
    <w:p w:rsidR="00C869A3" w:rsidRPr="00C869A3" w:rsidRDefault="00C869A3" w:rsidP="00C869A3">
      <w:pPr>
        <w:pStyle w:val="a4"/>
        <w:spacing w:after="0" w:line="240" w:lineRule="auto"/>
        <w:jc w:val="center"/>
        <w:rPr>
          <w:rFonts w:ascii="Times New Roman" w:hAnsi="Times New Roman"/>
          <w:b/>
          <w:lang w:val="uk-UA"/>
        </w:rPr>
      </w:pPr>
      <w:r w:rsidRPr="00C869A3">
        <w:rPr>
          <w:rFonts w:ascii="Times New Roman" w:hAnsi="Times New Roman"/>
          <w:b/>
          <w:lang w:val="uk-UA"/>
        </w:rPr>
        <w:t>ГБРК - Баштанська міська рада</w:t>
      </w:r>
    </w:p>
    <w:p w:rsidR="00C869A3" w:rsidRPr="00C869A3" w:rsidRDefault="00C869A3" w:rsidP="00C869A3">
      <w:pPr>
        <w:pStyle w:val="a4"/>
        <w:spacing w:after="0" w:line="240" w:lineRule="auto"/>
        <w:rPr>
          <w:rFonts w:ascii="Times New Roman" w:hAnsi="Times New Roman"/>
          <w:b/>
          <w:lang w:val="uk-UA"/>
        </w:rPr>
      </w:pPr>
    </w:p>
    <w:p w:rsidR="00C869A3" w:rsidRDefault="00C869A3" w:rsidP="0087443B">
      <w:pPr>
        <w:pStyle w:val="a4"/>
        <w:spacing w:after="0" w:line="240" w:lineRule="auto"/>
        <w:rPr>
          <w:rFonts w:ascii="Times New Roman" w:hAnsi="Times New Roman"/>
          <w:lang w:val="uk-UA"/>
        </w:rPr>
      </w:pPr>
    </w:p>
    <w:p w:rsidR="002279B4" w:rsidRPr="00CF0EA5" w:rsidRDefault="004D2928" w:rsidP="0087443B">
      <w:pPr>
        <w:pStyle w:val="a4"/>
        <w:spacing w:after="0" w:line="240" w:lineRule="auto"/>
        <w:rPr>
          <w:rFonts w:ascii="Times New Roman" w:hAnsi="Times New Roman"/>
          <w:lang w:val="uk-UA"/>
        </w:rPr>
      </w:pPr>
      <w:r>
        <w:rPr>
          <w:rFonts w:ascii="Times New Roman" w:hAnsi="Times New Roman"/>
          <w:lang w:val="uk-UA"/>
        </w:rPr>
        <w:t>Паспортом передбачені виконання наступних завдань</w:t>
      </w:r>
    </w:p>
    <w:p w:rsidR="002279B4" w:rsidRDefault="004D2928" w:rsidP="0087443B">
      <w:pPr>
        <w:pStyle w:val="a4"/>
        <w:spacing w:after="0" w:line="240" w:lineRule="auto"/>
        <w:rPr>
          <w:rFonts w:ascii="Times New Roman" w:eastAsia="Times New Roman" w:hAnsi="Times New Roman"/>
          <w:b/>
          <w:bCs/>
          <w:color w:val="000000"/>
          <w:sz w:val="20"/>
          <w:szCs w:val="20"/>
          <w:lang w:val="uk-UA" w:eastAsia="ru-RU"/>
        </w:rPr>
      </w:pPr>
      <w:r w:rsidRPr="00CF0EA5">
        <w:rPr>
          <w:rFonts w:ascii="Times New Roman" w:eastAsia="Times New Roman" w:hAnsi="Times New Roman"/>
          <w:b/>
          <w:bCs/>
          <w:color w:val="000000"/>
          <w:sz w:val="20"/>
          <w:szCs w:val="20"/>
          <w:lang w:val="uk-UA" w:eastAsia="ru-RU"/>
        </w:rPr>
        <w:t>Реалізація заходів щодо інвестиційного розвитку</w:t>
      </w:r>
    </w:p>
    <w:p w:rsidR="004D2928" w:rsidRPr="004D2928" w:rsidRDefault="004D2928" w:rsidP="004D2928">
      <w:pPr>
        <w:pStyle w:val="a4"/>
        <w:numPr>
          <w:ilvl w:val="0"/>
          <w:numId w:val="8"/>
        </w:numPr>
        <w:spacing w:after="0" w:line="240" w:lineRule="auto"/>
        <w:rPr>
          <w:rFonts w:ascii="Times New Roman" w:hAnsi="Times New Roman"/>
          <w:lang w:val="uk-UA"/>
        </w:rPr>
      </w:pPr>
      <w:r w:rsidRPr="00CF0EA5">
        <w:rPr>
          <w:rFonts w:ascii="Times New Roman" w:eastAsia="Times New Roman" w:hAnsi="Times New Roman"/>
          <w:color w:val="000000"/>
          <w:sz w:val="20"/>
          <w:szCs w:val="20"/>
          <w:lang w:val="uk-UA" w:eastAsia="ru-RU"/>
        </w:rPr>
        <w:t xml:space="preserve">реконструкція зовнішніх та внутрішніх електромереж гуртожитку </w:t>
      </w:r>
      <w:proofErr w:type="spellStart"/>
      <w:r w:rsidRPr="00CF0EA5">
        <w:rPr>
          <w:rFonts w:ascii="Times New Roman" w:eastAsia="Times New Roman" w:hAnsi="Times New Roman"/>
          <w:color w:val="000000"/>
          <w:sz w:val="20"/>
          <w:szCs w:val="20"/>
          <w:lang w:val="uk-UA" w:eastAsia="ru-RU"/>
        </w:rPr>
        <w:t>вул.Сизоненка</w:t>
      </w:r>
      <w:proofErr w:type="spellEnd"/>
      <w:r w:rsidRPr="00CF0EA5">
        <w:rPr>
          <w:rFonts w:ascii="Times New Roman" w:eastAsia="Times New Roman" w:hAnsi="Times New Roman"/>
          <w:color w:val="000000"/>
          <w:sz w:val="20"/>
          <w:szCs w:val="20"/>
          <w:lang w:val="uk-UA" w:eastAsia="ru-RU"/>
        </w:rPr>
        <w:t>,5</w:t>
      </w:r>
    </w:p>
    <w:p w:rsidR="004D2928" w:rsidRPr="004D2928" w:rsidRDefault="004D2928" w:rsidP="004D2928">
      <w:pPr>
        <w:pStyle w:val="a4"/>
        <w:numPr>
          <w:ilvl w:val="0"/>
          <w:numId w:val="8"/>
        </w:numPr>
        <w:spacing w:after="0" w:line="240" w:lineRule="auto"/>
        <w:rPr>
          <w:rFonts w:ascii="Times New Roman" w:hAnsi="Times New Roman"/>
          <w:lang w:val="uk-UA"/>
        </w:rPr>
      </w:pPr>
      <w:r w:rsidRPr="004D2928">
        <w:rPr>
          <w:rFonts w:ascii="Times New Roman" w:eastAsia="Times New Roman" w:hAnsi="Times New Roman"/>
          <w:color w:val="000000"/>
          <w:sz w:val="20"/>
          <w:szCs w:val="20"/>
          <w:lang w:val="uk-UA" w:eastAsia="ru-RU"/>
        </w:rPr>
        <w:t xml:space="preserve">виготовлення </w:t>
      </w:r>
      <w:proofErr w:type="spellStart"/>
      <w:r w:rsidRPr="004D2928">
        <w:rPr>
          <w:rFonts w:ascii="Times New Roman" w:eastAsia="Times New Roman" w:hAnsi="Times New Roman"/>
          <w:color w:val="000000"/>
          <w:sz w:val="20"/>
          <w:szCs w:val="20"/>
          <w:lang w:val="uk-UA" w:eastAsia="ru-RU"/>
        </w:rPr>
        <w:t>проектно</w:t>
      </w:r>
      <w:proofErr w:type="spellEnd"/>
      <w:r w:rsidRPr="004D2928">
        <w:rPr>
          <w:rFonts w:ascii="Times New Roman" w:eastAsia="Times New Roman" w:hAnsi="Times New Roman"/>
          <w:color w:val="000000"/>
          <w:sz w:val="20"/>
          <w:szCs w:val="20"/>
          <w:lang w:val="uk-UA" w:eastAsia="ru-RU"/>
        </w:rPr>
        <w:t xml:space="preserve"> - кошторисної документації на реконструкцію полігону твердих побутових відходів </w:t>
      </w:r>
    </w:p>
    <w:p w:rsidR="004D2928" w:rsidRPr="004D2928" w:rsidRDefault="004D2928" w:rsidP="004D2928">
      <w:pPr>
        <w:pStyle w:val="a4"/>
        <w:numPr>
          <w:ilvl w:val="0"/>
          <w:numId w:val="8"/>
        </w:numPr>
        <w:spacing w:after="0" w:line="240" w:lineRule="auto"/>
        <w:rPr>
          <w:rFonts w:ascii="Times New Roman" w:hAnsi="Times New Roman"/>
          <w:lang w:val="uk-UA"/>
        </w:rPr>
      </w:pPr>
      <w:r w:rsidRPr="00CF0EA5">
        <w:rPr>
          <w:rFonts w:ascii="Times New Roman" w:eastAsia="Times New Roman" w:hAnsi="Times New Roman"/>
          <w:color w:val="000000"/>
          <w:sz w:val="20"/>
          <w:szCs w:val="20"/>
          <w:lang w:val="uk-UA" w:eastAsia="ru-RU"/>
        </w:rPr>
        <w:t xml:space="preserve">виготовлення </w:t>
      </w:r>
      <w:proofErr w:type="spellStart"/>
      <w:r w:rsidRPr="00CF0EA5">
        <w:rPr>
          <w:rFonts w:ascii="Times New Roman" w:eastAsia="Times New Roman" w:hAnsi="Times New Roman"/>
          <w:color w:val="000000"/>
          <w:sz w:val="20"/>
          <w:szCs w:val="20"/>
          <w:lang w:val="uk-UA" w:eastAsia="ru-RU"/>
        </w:rPr>
        <w:t>проектно</w:t>
      </w:r>
      <w:proofErr w:type="spellEnd"/>
      <w:r>
        <w:rPr>
          <w:rFonts w:ascii="Times New Roman" w:eastAsia="Times New Roman" w:hAnsi="Times New Roman"/>
          <w:color w:val="000000"/>
          <w:sz w:val="20"/>
          <w:szCs w:val="20"/>
          <w:lang w:val="uk-UA" w:eastAsia="ru-RU"/>
        </w:rPr>
        <w:t xml:space="preserve"> </w:t>
      </w:r>
      <w:r w:rsidRPr="00CF0EA5">
        <w:rPr>
          <w:rFonts w:ascii="Times New Roman" w:eastAsia="Times New Roman" w:hAnsi="Times New Roman"/>
          <w:color w:val="000000"/>
          <w:sz w:val="20"/>
          <w:szCs w:val="20"/>
          <w:lang w:val="uk-UA" w:eastAsia="ru-RU"/>
        </w:rPr>
        <w:t xml:space="preserve">- кошторисної документації на будівництво ЦНАПУ </w:t>
      </w:r>
      <w:proofErr w:type="spellStart"/>
      <w:r w:rsidRPr="00CF0EA5">
        <w:rPr>
          <w:rFonts w:ascii="Times New Roman" w:eastAsia="Times New Roman" w:hAnsi="Times New Roman"/>
          <w:color w:val="000000"/>
          <w:sz w:val="20"/>
          <w:szCs w:val="20"/>
          <w:lang w:val="uk-UA" w:eastAsia="ru-RU"/>
        </w:rPr>
        <w:t>аштанської</w:t>
      </w:r>
      <w:proofErr w:type="spellEnd"/>
      <w:r w:rsidRPr="00CF0EA5">
        <w:rPr>
          <w:rFonts w:ascii="Times New Roman" w:eastAsia="Times New Roman" w:hAnsi="Times New Roman"/>
          <w:color w:val="000000"/>
          <w:sz w:val="20"/>
          <w:szCs w:val="20"/>
          <w:lang w:val="uk-UA" w:eastAsia="ru-RU"/>
        </w:rPr>
        <w:t xml:space="preserve"> об"</w:t>
      </w:r>
      <w:proofErr w:type="spellStart"/>
      <w:r w:rsidRPr="00CF0EA5">
        <w:rPr>
          <w:rFonts w:ascii="Times New Roman" w:eastAsia="Times New Roman" w:hAnsi="Times New Roman"/>
          <w:color w:val="000000"/>
          <w:sz w:val="20"/>
          <w:szCs w:val="20"/>
          <w:lang w:val="uk-UA" w:eastAsia="ru-RU"/>
        </w:rPr>
        <w:t>єднаної</w:t>
      </w:r>
      <w:proofErr w:type="spellEnd"/>
      <w:r w:rsidRPr="00CF0EA5">
        <w:rPr>
          <w:rFonts w:ascii="Times New Roman" w:eastAsia="Times New Roman" w:hAnsi="Times New Roman"/>
          <w:color w:val="000000"/>
          <w:sz w:val="20"/>
          <w:szCs w:val="20"/>
          <w:lang w:val="uk-UA" w:eastAsia="ru-RU"/>
        </w:rPr>
        <w:t xml:space="preserve"> територіальної громади по вул. Баштанської республіки,12 </w:t>
      </w:r>
      <w:proofErr w:type="spellStart"/>
      <w:r w:rsidRPr="00CF0EA5">
        <w:rPr>
          <w:rFonts w:ascii="Times New Roman" w:eastAsia="Times New Roman" w:hAnsi="Times New Roman"/>
          <w:color w:val="000000"/>
          <w:sz w:val="20"/>
          <w:szCs w:val="20"/>
          <w:lang w:val="uk-UA" w:eastAsia="ru-RU"/>
        </w:rPr>
        <w:t>м.Баштанка</w:t>
      </w:r>
      <w:proofErr w:type="spellEnd"/>
      <w:r w:rsidRPr="00CF0EA5">
        <w:rPr>
          <w:rFonts w:ascii="Times New Roman" w:eastAsia="Times New Roman" w:hAnsi="Times New Roman"/>
          <w:color w:val="000000"/>
          <w:sz w:val="20"/>
          <w:szCs w:val="20"/>
          <w:lang w:val="uk-UA" w:eastAsia="ru-RU"/>
        </w:rPr>
        <w:t xml:space="preserve"> Миколаївської області</w:t>
      </w:r>
      <w:r>
        <w:rPr>
          <w:rFonts w:ascii="Times New Roman" w:eastAsia="Times New Roman" w:hAnsi="Times New Roman"/>
          <w:color w:val="000000"/>
          <w:sz w:val="20"/>
          <w:szCs w:val="20"/>
          <w:lang w:val="uk-UA" w:eastAsia="ru-RU"/>
        </w:rPr>
        <w:t>,-</w:t>
      </w:r>
    </w:p>
    <w:p w:rsidR="004D2928" w:rsidRPr="00CF0EA5" w:rsidRDefault="004D2928" w:rsidP="004D2928">
      <w:pPr>
        <w:pStyle w:val="a4"/>
        <w:numPr>
          <w:ilvl w:val="0"/>
          <w:numId w:val="8"/>
        </w:numPr>
        <w:spacing w:after="0" w:line="240" w:lineRule="auto"/>
        <w:rPr>
          <w:rFonts w:ascii="Times New Roman" w:hAnsi="Times New Roman"/>
          <w:lang w:val="uk-UA"/>
        </w:rPr>
      </w:pPr>
      <w:r w:rsidRPr="004D2928">
        <w:rPr>
          <w:rFonts w:ascii="Times New Roman" w:eastAsia="Times New Roman" w:hAnsi="Times New Roman"/>
          <w:color w:val="000000"/>
          <w:sz w:val="20"/>
          <w:szCs w:val="20"/>
          <w:lang w:val="uk-UA" w:eastAsia="ru-RU"/>
        </w:rPr>
        <w:t xml:space="preserve"> </w:t>
      </w:r>
      <w:r w:rsidRPr="00CF0EA5">
        <w:rPr>
          <w:rFonts w:ascii="Times New Roman" w:eastAsia="Times New Roman" w:hAnsi="Times New Roman"/>
          <w:color w:val="000000"/>
          <w:sz w:val="20"/>
          <w:szCs w:val="20"/>
          <w:lang w:val="uk-UA" w:eastAsia="ru-RU"/>
        </w:rPr>
        <w:t xml:space="preserve">виготовлення </w:t>
      </w:r>
      <w:proofErr w:type="spellStart"/>
      <w:r w:rsidRPr="00CF0EA5">
        <w:rPr>
          <w:rFonts w:ascii="Times New Roman" w:eastAsia="Times New Roman" w:hAnsi="Times New Roman"/>
          <w:color w:val="000000"/>
          <w:sz w:val="20"/>
          <w:szCs w:val="20"/>
          <w:lang w:val="uk-UA" w:eastAsia="ru-RU"/>
        </w:rPr>
        <w:t>проектно-</w:t>
      </w:r>
      <w:proofErr w:type="spellEnd"/>
      <w:r w:rsidRPr="00CF0EA5">
        <w:rPr>
          <w:rFonts w:ascii="Times New Roman" w:eastAsia="Times New Roman" w:hAnsi="Times New Roman"/>
          <w:color w:val="000000"/>
          <w:sz w:val="20"/>
          <w:szCs w:val="20"/>
          <w:lang w:val="uk-UA" w:eastAsia="ru-RU"/>
        </w:rPr>
        <w:t xml:space="preserve"> кошторисної документації на будівництво системи водовідведення  по </w:t>
      </w:r>
      <w:proofErr w:type="spellStart"/>
      <w:r w:rsidRPr="00CF0EA5">
        <w:rPr>
          <w:rFonts w:ascii="Times New Roman" w:eastAsia="Times New Roman" w:hAnsi="Times New Roman"/>
          <w:color w:val="000000"/>
          <w:sz w:val="20"/>
          <w:szCs w:val="20"/>
          <w:lang w:val="uk-UA" w:eastAsia="ru-RU"/>
        </w:rPr>
        <w:t>в.Квітнева</w:t>
      </w:r>
      <w:proofErr w:type="spellEnd"/>
      <w:r w:rsidRPr="00CF0EA5">
        <w:rPr>
          <w:rFonts w:ascii="Times New Roman" w:eastAsia="Times New Roman" w:hAnsi="Times New Roman"/>
          <w:color w:val="000000"/>
          <w:sz w:val="20"/>
          <w:szCs w:val="20"/>
          <w:lang w:val="uk-UA" w:eastAsia="ru-RU"/>
        </w:rPr>
        <w:t xml:space="preserve"> м. </w:t>
      </w:r>
      <w:proofErr w:type="spellStart"/>
      <w:r w:rsidRPr="00CF0EA5">
        <w:rPr>
          <w:rFonts w:ascii="Times New Roman" w:eastAsia="Times New Roman" w:hAnsi="Times New Roman"/>
          <w:color w:val="000000"/>
          <w:sz w:val="20"/>
          <w:szCs w:val="20"/>
          <w:lang w:val="uk-UA" w:eastAsia="ru-RU"/>
        </w:rPr>
        <w:t>Баштанка</w:t>
      </w:r>
      <w:proofErr w:type="spellEnd"/>
    </w:p>
    <w:p w:rsidR="002279B4" w:rsidRPr="00CF0EA5" w:rsidRDefault="002279B4" w:rsidP="0087443B">
      <w:pPr>
        <w:pStyle w:val="a4"/>
        <w:spacing w:after="0" w:line="240" w:lineRule="auto"/>
        <w:rPr>
          <w:rFonts w:ascii="Times New Roman" w:hAnsi="Times New Roman"/>
          <w:lang w:val="uk-UA"/>
        </w:rPr>
      </w:pPr>
    </w:p>
    <w:p w:rsidR="002279B4" w:rsidRPr="00CF0EA5" w:rsidRDefault="004D2928" w:rsidP="0087443B">
      <w:pPr>
        <w:spacing w:after="0" w:line="240" w:lineRule="auto"/>
        <w:rPr>
          <w:rFonts w:ascii="Times New Roman" w:hAnsi="Times New Roman"/>
          <w:lang w:val="uk-UA"/>
        </w:rPr>
      </w:pPr>
      <w:r>
        <w:rPr>
          <w:rFonts w:ascii="Times New Roman" w:hAnsi="Times New Roman"/>
          <w:lang w:val="uk-UA"/>
        </w:rPr>
        <w:t xml:space="preserve">В розділі 1 ПБП </w:t>
      </w:r>
      <w:r w:rsidRPr="00CF0EA5">
        <w:rPr>
          <w:rFonts w:ascii="Times New Roman" w:hAnsi="Times New Roman"/>
          <w:lang w:val="uk-UA"/>
        </w:rPr>
        <w:t>відсутні</w:t>
      </w:r>
      <w:r w:rsidR="002279B4" w:rsidRPr="00CF0EA5">
        <w:rPr>
          <w:rFonts w:ascii="Times New Roman" w:hAnsi="Times New Roman"/>
          <w:lang w:val="uk-UA"/>
        </w:rPr>
        <w:t xml:space="preserve"> показники якості в завданнях 2-4</w:t>
      </w:r>
      <w:r>
        <w:rPr>
          <w:rFonts w:ascii="Times New Roman" w:hAnsi="Times New Roman"/>
          <w:lang w:val="uk-UA"/>
        </w:rPr>
        <w:t xml:space="preserve"> , яки по типовому наказу</w:t>
      </w:r>
      <w:r w:rsidR="007A2C9C">
        <w:rPr>
          <w:rFonts w:ascii="Times New Roman" w:hAnsi="Times New Roman"/>
          <w:lang w:val="uk-UA"/>
        </w:rPr>
        <w:t xml:space="preserve"> 945</w:t>
      </w:r>
      <w:r>
        <w:rPr>
          <w:rFonts w:ascii="Times New Roman" w:hAnsi="Times New Roman"/>
          <w:lang w:val="uk-UA"/>
        </w:rPr>
        <w:t xml:space="preserve"> визначені </w:t>
      </w:r>
      <w:r w:rsidR="00C869A3">
        <w:rPr>
          <w:rFonts w:ascii="Times New Roman" w:hAnsi="Times New Roman"/>
          <w:lang w:val="uk-UA"/>
        </w:rPr>
        <w:t>наступним</w:t>
      </w:r>
      <w:r>
        <w:rPr>
          <w:rFonts w:ascii="Times New Roman" w:hAnsi="Times New Roman"/>
          <w:lang w:val="uk-UA"/>
        </w:rPr>
        <w:t xml:space="preserve"> чином</w:t>
      </w:r>
      <w:r w:rsidR="007A2C9C">
        <w:rPr>
          <w:rFonts w:ascii="Times New Roman" w:hAnsi="Times New Roman"/>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73"/>
        <w:gridCol w:w="3422"/>
        <w:gridCol w:w="4605"/>
      </w:tblGrid>
      <w:tr w:rsidR="002279B4" w:rsidRPr="004D2928" w:rsidTr="00D0629A">
        <w:trPr>
          <w:tblCellSpacing w:w="22" w:type="dxa"/>
        </w:trPr>
        <w:tc>
          <w:tcPr>
            <w:tcW w:w="4700" w:type="pct"/>
            <w:gridSpan w:val="3"/>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i/>
                <w:iCs/>
                <w:sz w:val="20"/>
                <w:szCs w:val="20"/>
                <w:lang w:val="uk-UA"/>
              </w:rPr>
              <w:t>Будівництво</w:t>
            </w:r>
            <w:r w:rsidRPr="004D2928">
              <w:rPr>
                <w:sz w:val="20"/>
                <w:szCs w:val="20"/>
                <w:vertAlign w:val="superscript"/>
                <w:lang w:val="uk-UA"/>
              </w:rPr>
              <w:t xml:space="preserve"> 3</w:t>
            </w:r>
          </w:p>
        </w:tc>
      </w:tr>
      <w:tr w:rsidR="002279B4" w:rsidRPr="004D2928" w:rsidTr="00D0629A">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Програма</w:t>
            </w:r>
          </w:p>
        </w:tc>
        <w:tc>
          <w:tcPr>
            <w:tcW w:w="3750" w:type="pct"/>
            <w:gridSpan w:val="2"/>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Реалізація заходів щодо інвестиційного розвитку території (</w:t>
            </w:r>
            <w:r w:rsidRPr="004D2928">
              <w:rPr>
                <w:b/>
                <w:bCs/>
                <w:color w:val="0000FF"/>
                <w:sz w:val="20"/>
                <w:szCs w:val="20"/>
                <w:lang w:val="uk-UA"/>
              </w:rPr>
              <w:t>КТКВК 150101</w:t>
            </w:r>
            <w:r w:rsidRPr="004D2928">
              <w:rPr>
                <w:b/>
                <w:bCs/>
                <w:sz w:val="20"/>
                <w:szCs w:val="20"/>
                <w:lang w:val="uk-UA"/>
              </w:rPr>
              <w:t>)</w:t>
            </w:r>
          </w:p>
        </w:tc>
      </w:tr>
      <w:tr w:rsidR="002279B4" w:rsidRPr="004D2928" w:rsidTr="00D0629A">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Мета</w:t>
            </w:r>
          </w:p>
        </w:tc>
        <w:tc>
          <w:tcPr>
            <w:tcW w:w="3750" w:type="pct"/>
            <w:gridSpan w:val="2"/>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Забезпечення розвитку інфраструктури території</w:t>
            </w:r>
          </w:p>
        </w:tc>
      </w:tr>
      <w:tr w:rsidR="002279B4" w:rsidRPr="004D2928" w:rsidTr="00D0629A">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Завдання 1</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Результативні показники</w:t>
            </w:r>
          </w:p>
        </w:tc>
      </w:tr>
      <w:tr w:rsidR="002279B4" w:rsidRPr="00553129"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79B4" w:rsidRPr="004D2928" w:rsidRDefault="002279B4" w:rsidP="0087443B">
            <w:pPr>
              <w:spacing w:after="0" w:line="240" w:lineRule="auto"/>
              <w:rPr>
                <w:rFonts w:ascii="Times New Roman" w:hAnsi="Times New Roman"/>
                <w:sz w:val="20"/>
                <w:szCs w:val="20"/>
                <w:lang w:val="uk-UA"/>
              </w:rPr>
            </w:pP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Забезпечення будівництва об'єктів</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Показники затрат:</w:t>
            </w:r>
            <w:r w:rsidRPr="004D2928">
              <w:rPr>
                <w:sz w:val="20"/>
                <w:szCs w:val="20"/>
                <w:lang w:val="uk-UA"/>
              </w:rPr>
              <w:br/>
              <w:t>обсяг будівництва, км (кв. м).</w:t>
            </w:r>
            <w:r w:rsidRPr="004D2928">
              <w:rPr>
                <w:sz w:val="20"/>
                <w:szCs w:val="20"/>
                <w:lang w:val="uk-UA"/>
              </w:rPr>
              <w:br/>
            </w:r>
            <w:r w:rsidRPr="004D2928">
              <w:rPr>
                <w:b/>
                <w:bCs/>
                <w:sz w:val="20"/>
                <w:szCs w:val="20"/>
                <w:lang w:val="uk-UA"/>
              </w:rPr>
              <w:t>Показники продукту:</w:t>
            </w:r>
            <w:r w:rsidRPr="004D2928">
              <w:rPr>
                <w:sz w:val="20"/>
                <w:szCs w:val="20"/>
                <w:lang w:val="uk-UA"/>
              </w:rPr>
              <w:br/>
              <w:t>кількість об'єктів, які планується побудувати, од.</w:t>
            </w:r>
            <w:r w:rsidRPr="004D2928">
              <w:rPr>
                <w:sz w:val="20"/>
                <w:szCs w:val="20"/>
                <w:lang w:val="uk-UA"/>
              </w:rPr>
              <w:br/>
            </w:r>
            <w:r w:rsidRPr="004D2928">
              <w:rPr>
                <w:b/>
                <w:bCs/>
                <w:sz w:val="20"/>
                <w:szCs w:val="20"/>
                <w:lang w:val="uk-UA"/>
              </w:rPr>
              <w:t>Показники ефективності:</w:t>
            </w:r>
            <w:r w:rsidRPr="004D2928">
              <w:rPr>
                <w:sz w:val="20"/>
                <w:szCs w:val="20"/>
                <w:lang w:val="uk-UA"/>
              </w:rPr>
              <w:br/>
              <w:t>середні витрати на будівництво одного об'єкта, тис. грн.;</w:t>
            </w:r>
            <w:r w:rsidRPr="004D2928">
              <w:rPr>
                <w:sz w:val="20"/>
                <w:szCs w:val="20"/>
                <w:lang w:val="uk-UA"/>
              </w:rPr>
              <w:br/>
              <w:t>середні витрати на 1 км (кв. м) будівництва об'єкта, тис. грн.</w:t>
            </w:r>
            <w:r w:rsidRPr="004D2928">
              <w:rPr>
                <w:sz w:val="20"/>
                <w:szCs w:val="20"/>
                <w:lang w:val="uk-UA"/>
              </w:rPr>
              <w:br/>
            </w:r>
            <w:r w:rsidRPr="004D2928">
              <w:rPr>
                <w:b/>
                <w:bCs/>
                <w:sz w:val="20"/>
                <w:szCs w:val="20"/>
                <w:lang w:val="uk-UA"/>
              </w:rPr>
              <w:t>Показники якості:</w:t>
            </w:r>
            <w:r w:rsidRPr="004D2928">
              <w:rPr>
                <w:sz w:val="20"/>
                <w:szCs w:val="20"/>
                <w:lang w:val="uk-UA"/>
              </w:rPr>
              <w:br/>
              <w:t>рівень готовності об'єктів будівництва, %;</w:t>
            </w:r>
            <w:r w:rsidRPr="004D2928">
              <w:rPr>
                <w:sz w:val="20"/>
                <w:szCs w:val="20"/>
                <w:lang w:val="uk-UA"/>
              </w:rPr>
              <w:br/>
              <w:t>динаміка кількості об'єктів будівництва порівняно з попереднім роком, %;</w:t>
            </w:r>
            <w:r w:rsidRPr="004D2928">
              <w:rPr>
                <w:sz w:val="20"/>
                <w:szCs w:val="20"/>
                <w:lang w:val="uk-UA"/>
              </w:rPr>
              <w:br/>
              <w:t>динаміка обсягу будівництва порівняно з попереднім роком, %</w:t>
            </w:r>
          </w:p>
        </w:tc>
      </w:tr>
      <w:tr w:rsidR="002279B4" w:rsidRPr="004D2928" w:rsidTr="00D0629A">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Завдання 2</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Результативні показники</w:t>
            </w:r>
          </w:p>
        </w:tc>
      </w:tr>
      <w:tr w:rsidR="002279B4" w:rsidRPr="00553129"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79B4" w:rsidRPr="004D2928" w:rsidRDefault="002279B4" w:rsidP="0087443B">
            <w:pPr>
              <w:spacing w:after="0" w:line="240" w:lineRule="auto"/>
              <w:rPr>
                <w:rFonts w:ascii="Times New Roman" w:hAnsi="Times New Roman"/>
                <w:sz w:val="20"/>
                <w:szCs w:val="20"/>
                <w:lang w:val="uk-UA"/>
              </w:rPr>
            </w:pP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Забезпечення реконструкції об'єктів</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Показники затрат:</w:t>
            </w:r>
            <w:r w:rsidRPr="004D2928">
              <w:rPr>
                <w:sz w:val="20"/>
                <w:szCs w:val="20"/>
                <w:lang w:val="uk-UA"/>
              </w:rPr>
              <w:br/>
              <w:t>обсяг реконструкції об'єктів, км (кв. м).</w:t>
            </w:r>
            <w:r w:rsidRPr="004D2928">
              <w:rPr>
                <w:sz w:val="20"/>
                <w:szCs w:val="20"/>
                <w:lang w:val="uk-UA"/>
              </w:rPr>
              <w:br/>
            </w:r>
            <w:r w:rsidRPr="004D2928">
              <w:rPr>
                <w:b/>
                <w:bCs/>
                <w:sz w:val="20"/>
                <w:szCs w:val="20"/>
                <w:lang w:val="uk-UA"/>
              </w:rPr>
              <w:t>Показники продукту:</w:t>
            </w:r>
            <w:r w:rsidRPr="004D2928">
              <w:rPr>
                <w:sz w:val="20"/>
                <w:szCs w:val="20"/>
                <w:lang w:val="uk-UA"/>
              </w:rPr>
              <w:br/>
              <w:t>кількість об'єктів, які планується реконструювати, од.</w:t>
            </w:r>
            <w:r w:rsidRPr="004D2928">
              <w:rPr>
                <w:sz w:val="20"/>
                <w:szCs w:val="20"/>
                <w:lang w:val="uk-UA"/>
              </w:rPr>
              <w:br/>
            </w:r>
            <w:r w:rsidRPr="004D2928">
              <w:rPr>
                <w:b/>
                <w:bCs/>
                <w:sz w:val="20"/>
                <w:szCs w:val="20"/>
                <w:lang w:val="uk-UA"/>
              </w:rPr>
              <w:t>Показники ефективності:</w:t>
            </w:r>
            <w:r w:rsidRPr="004D2928">
              <w:rPr>
                <w:sz w:val="20"/>
                <w:szCs w:val="20"/>
                <w:lang w:val="uk-UA"/>
              </w:rPr>
              <w:br/>
              <w:t>середні витрати на реконструкцію одного об'єкта, тис. грн.;</w:t>
            </w:r>
            <w:r w:rsidRPr="004D2928">
              <w:rPr>
                <w:sz w:val="20"/>
                <w:szCs w:val="20"/>
                <w:lang w:val="uk-UA"/>
              </w:rPr>
              <w:br/>
              <w:t>середні витрати на 1 км (кв. м) реконструкції об'єкта, тис. грн.</w:t>
            </w:r>
            <w:r w:rsidRPr="004D2928">
              <w:rPr>
                <w:sz w:val="20"/>
                <w:szCs w:val="20"/>
                <w:lang w:val="uk-UA"/>
              </w:rPr>
              <w:br/>
            </w:r>
            <w:r w:rsidRPr="004D2928">
              <w:rPr>
                <w:b/>
                <w:bCs/>
                <w:sz w:val="20"/>
                <w:szCs w:val="20"/>
                <w:lang w:val="uk-UA"/>
              </w:rPr>
              <w:t>Показники якості:</w:t>
            </w:r>
            <w:r w:rsidRPr="004D2928">
              <w:rPr>
                <w:sz w:val="20"/>
                <w:szCs w:val="20"/>
                <w:lang w:val="uk-UA"/>
              </w:rPr>
              <w:br/>
              <w:t>рівень готовності об'єктів реконструкції, %;</w:t>
            </w:r>
            <w:r w:rsidRPr="004D2928">
              <w:rPr>
                <w:sz w:val="20"/>
                <w:szCs w:val="20"/>
                <w:lang w:val="uk-UA"/>
              </w:rPr>
              <w:br/>
              <w:t>динаміка кількості об'єктів реконструкції порівняно з попереднім роком, %;</w:t>
            </w:r>
            <w:r w:rsidRPr="004D2928">
              <w:rPr>
                <w:sz w:val="20"/>
                <w:szCs w:val="20"/>
                <w:lang w:val="uk-UA"/>
              </w:rPr>
              <w:br/>
              <w:t xml:space="preserve">динаміка обсягу будівництва порівняно з </w:t>
            </w:r>
            <w:r w:rsidRPr="004D2928">
              <w:rPr>
                <w:sz w:val="20"/>
                <w:szCs w:val="20"/>
                <w:lang w:val="uk-UA"/>
              </w:rPr>
              <w:lastRenderedPageBreak/>
              <w:t>попереднім роком, %</w:t>
            </w:r>
          </w:p>
        </w:tc>
      </w:tr>
      <w:tr w:rsidR="002279B4" w:rsidRPr="004D2928" w:rsidTr="00D0629A">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lastRenderedPageBreak/>
              <w:t> </w:t>
            </w: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Завдання 3</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Результативні показники</w:t>
            </w:r>
          </w:p>
        </w:tc>
      </w:tr>
      <w:tr w:rsidR="002279B4" w:rsidRPr="004D2928"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79B4" w:rsidRPr="004D2928" w:rsidRDefault="002279B4" w:rsidP="0087443B">
            <w:pPr>
              <w:spacing w:after="0" w:line="240" w:lineRule="auto"/>
              <w:rPr>
                <w:rFonts w:ascii="Times New Roman" w:hAnsi="Times New Roman"/>
                <w:sz w:val="20"/>
                <w:szCs w:val="20"/>
                <w:lang w:val="uk-UA"/>
              </w:rPr>
            </w:pP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Проектування будівництва об'єктів</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Показники продукту:</w:t>
            </w:r>
            <w:r w:rsidRPr="004D2928">
              <w:rPr>
                <w:sz w:val="20"/>
                <w:szCs w:val="20"/>
                <w:lang w:val="uk-UA"/>
              </w:rPr>
              <w:br/>
              <w:t>кількість проектів для будівництва об'єктів, од.</w:t>
            </w:r>
            <w:r w:rsidRPr="004D2928">
              <w:rPr>
                <w:sz w:val="20"/>
                <w:szCs w:val="20"/>
                <w:lang w:val="uk-UA"/>
              </w:rPr>
              <w:br/>
            </w:r>
            <w:r w:rsidRPr="004D2928">
              <w:rPr>
                <w:b/>
                <w:bCs/>
                <w:sz w:val="20"/>
                <w:szCs w:val="20"/>
                <w:lang w:val="uk-UA"/>
              </w:rPr>
              <w:t>Показники ефективності:</w:t>
            </w:r>
            <w:r w:rsidRPr="004D2928">
              <w:rPr>
                <w:sz w:val="20"/>
                <w:szCs w:val="20"/>
                <w:lang w:val="uk-UA"/>
              </w:rPr>
              <w:br/>
              <w:t>середні витрати на розробку одного проекту для будівництва об'єкта, тис. грн.</w:t>
            </w:r>
            <w:r w:rsidRPr="004D2928">
              <w:rPr>
                <w:sz w:val="20"/>
                <w:szCs w:val="20"/>
                <w:lang w:val="uk-UA"/>
              </w:rPr>
              <w:br/>
            </w:r>
            <w:r w:rsidRPr="004D2928">
              <w:rPr>
                <w:b/>
                <w:bCs/>
                <w:sz w:val="20"/>
                <w:szCs w:val="20"/>
                <w:lang w:val="uk-UA"/>
              </w:rPr>
              <w:t>Показники якості:</w:t>
            </w:r>
            <w:r w:rsidRPr="004D2928">
              <w:rPr>
                <w:sz w:val="20"/>
                <w:szCs w:val="20"/>
                <w:lang w:val="uk-UA"/>
              </w:rPr>
              <w:br/>
              <w:t>рівень готовності проектної документації будівництва об'єктів, %</w:t>
            </w:r>
          </w:p>
        </w:tc>
      </w:tr>
      <w:tr w:rsidR="002279B4" w:rsidRPr="004D2928" w:rsidTr="00D0629A">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Завдання 4</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jc w:val="center"/>
              <w:rPr>
                <w:sz w:val="20"/>
                <w:szCs w:val="20"/>
                <w:lang w:val="uk-UA"/>
              </w:rPr>
            </w:pPr>
            <w:r w:rsidRPr="004D2928">
              <w:rPr>
                <w:b/>
                <w:bCs/>
                <w:sz w:val="20"/>
                <w:szCs w:val="20"/>
                <w:lang w:val="uk-UA"/>
              </w:rPr>
              <w:t>Результативні показники</w:t>
            </w:r>
          </w:p>
        </w:tc>
      </w:tr>
      <w:tr w:rsidR="002279B4" w:rsidRPr="004D2928"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79B4" w:rsidRPr="004D2928" w:rsidRDefault="002279B4" w:rsidP="0087443B">
            <w:pPr>
              <w:spacing w:after="0" w:line="240" w:lineRule="auto"/>
              <w:rPr>
                <w:rFonts w:ascii="Times New Roman" w:hAnsi="Times New Roman"/>
                <w:sz w:val="20"/>
                <w:szCs w:val="20"/>
                <w:lang w:val="uk-UA"/>
              </w:rPr>
            </w:pPr>
          </w:p>
        </w:tc>
        <w:tc>
          <w:tcPr>
            <w:tcW w:w="160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sz w:val="20"/>
                <w:szCs w:val="20"/>
                <w:lang w:val="uk-UA"/>
              </w:rPr>
              <w:t>Проектування реконструкції об'єктів</w:t>
            </w:r>
          </w:p>
        </w:tc>
        <w:tc>
          <w:tcPr>
            <w:tcW w:w="2150" w:type="pct"/>
            <w:tcBorders>
              <w:top w:val="outset" w:sz="6" w:space="0" w:color="auto"/>
              <w:left w:val="outset" w:sz="6" w:space="0" w:color="auto"/>
              <w:bottom w:val="outset" w:sz="6" w:space="0" w:color="auto"/>
              <w:right w:val="outset" w:sz="6" w:space="0" w:color="auto"/>
            </w:tcBorders>
            <w:hideMark/>
          </w:tcPr>
          <w:p w:rsidR="002279B4" w:rsidRPr="004D2928" w:rsidRDefault="002279B4" w:rsidP="0087443B">
            <w:pPr>
              <w:pStyle w:val="a3"/>
              <w:spacing w:before="0" w:beforeAutospacing="0" w:after="0" w:afterAutospacing="0"/>
              <w:rPr>
                <w:sz w:val="20"/>
                <w:szCs w:val="20"/>
                <w:lang w:val="uk-UA"/>
              </w:rPr>
            </w:pPr>
            <w:r w:rsidRPr="004D2928">
              <w:rPr>
                <w:b/>
                <w:bCs/>
                <w:sz w:val="20"/>
                <w:szCs w:val="20"/>
                <w:lang w:val="uk-UA"/>
              </w:rPr>
              <w:t>Показники продукту:</w:t>
            </w:r>
            <w:r w:rsidRPr="004D2928">
              <w:rPr>
                <w:sz w:val="20"/>
                <w:szCs w:val="20"/>
                <w:lang w:val="uk-UA"/>
              </w:rPr>
              <w:br/>
              <w:t>кількість проектів для реконструкції об'єктів, од.</w:t>
            </w:r>
            <w:r w:rsidRPr="004D2928">
              <w:rPr>
                <w:sz w:val="20"/>
                <w:szCs w:val="20"/>
                <w:lang w:val="uk-UA"/>
              </w:rPr>
              <w:br/>
            </w:r>
            <w:r w:rsidRPr="004D2928">
              <w:rPr>
                <w:b/>
                <w:bCs/>
                <w:sz w:val="20"/>
                <w:szCs w:val="20"/>
                <w:lang w:val="uk-UA"/>
              </w:rPr>
              <w:t>Показники ефективності:</w:t>
            </w:r>
            <w:r w:rsidRPr="004D2928">
              <w:rPr>
                <w:sz w:val="20"/>
                <w:szCs w:val="20"/>
                <w:lang w:val="uk-UA"/>
              </w:rPr>
              <w:br/>
              <w:t>середні витрати на розробку одного проекту для реконструкції об'єкту, тис. грн.</w:t>
            </w:r>
            <w:r w:rsidRPr="004D2928">
              <w:rPr>
                <w:sz w:val="20"/>
                <w:szCs w:val="20"/>
                <w:lang w:val="uk-UA"/>
              </w:rPr>
              <w:br/>
            </w:r>
            <w:r w:rsidRPr="004D2928">
              <w:rPr>
                <w:b/>
                <w:bCs/>
                <w:sz w:val="20"/>
                <w:szCs w:val="20"/>
                <w:lang w:val="uk-UA"/>
              </w:rPr>
              <w:t>Показники якості:</w:t>
            </w:r>
            <w:r w:rsidRPr="004D2928">
              <w:rPr>
                <w:sz w:val="20"/>
                <w:szCs w:val="20"/>
                <w:lang w:val="uk-UA"/>
              </w:rPr>
              <w:br/>
              <w:t>рівень готовності проектної документації реконструкції об'єктів, %</w:t>
            </w:r>
          </w:p>
        </w:tc>
      </w:tr>
    </w:tbl>
    <w:p w:rsidR="002279B4" w:rsidRPr="00CF0EA5" w:rsidRDefault="00844C82" w:rsidP="007A2C9C">
      <w:pPr>
        <w:spacing w:after="0" w:line="240" w:lineRule="auto"/>
        <w:jc w:val="both"/>
        <w:rPr>
          <w:rFonts w:ascii="Times New Roman" w:hAnsi="Times New Roman"/>
          <w:lang w:val="uk-UA"/>
        </w:rPr>
      </w:pPr>
      <w:r>
        <w:rPr>
          <w:rFonts w:ascii="Times New Roman" w:hAnsi="Times New Roman"/>
          <w:lang w:val="uk-UA"/>
        </w:rPr>
        <w:t>Відсутність</w:t>
      </w:r>
      <w:r w:rsidR="004D2928">
        <w:rPr>
          <w:rFonts w:ascii="Times New Roman" w:hAnsi="Times New Roman"/>
          <w:lang w:val="uk-UA"/>
        </w:rPr>
        <w:t xml:space="preserve"> в паспорті бюджетної програми показників ефективност</w:t>
      </w:r>
      <w:r>
        <w:rPr>
          <w:rFonts w:ascii="Times New Roman" w:hAnsi="Times New Roman"/>
          <w:lang w:val="uk-UA"/>
        </w:rPr>
        <w:t>і та/або якості не дозволя</w:t>
      </w:r>
      <w:r w:rsidR="007A2C9C">
        <w:rPr>
          <w:rFonts w:ascii="Times New Roman" w:hAnsi="Times New Roman"/>
          <w:lang w:val="uk-UA"/>
        </w:rPr>
        <w:t>ю</w:t>
      </w:r>
      <w:r>
        <w:rPr>
          <w:rFonts w:ascii="Times New Roman" w:hAnsi="Times New Roman"/>
          <w:lang w:val="uk-UA"/>
        </w:rPr>
        <w:t>ть всебічно</w:t>
      </w:r>
      <w:r w:rsidR="004D2928">
        <w:rPr>
          <w:rFonts w:ascii="Times New Roman" w:hAnsi="Times New Roman"/>
          <w:lang w:val="uk-UA"/>
        </w:rPr>
        <w:t xml:space="preserve"> оцінити результативність програми та провести аналіз ефективності використання бюдж</w:t>
      </w:r>
      <w:r>
        <w:rPr>
          <w:rFonts w:ascii="Times New Roman" w:hAnsi="Times New Roman"/>
          <w:lang w:val="uk-UA"/>
        </w:rPr>
        <w:t>етних коштів по даній програмі.</w:t>
      </w:r>
    </w:p>
    <w:p w:rsidR="002A1409" w:rsidRPr="00CF0EA5" w:rsidRDefault="002A1409" w:rsidP="0087443B">
      <w:pPr>
        <w:spacing w:after="0" w:line="240" w:lineRule="auto"/>
        <w:rPr>
          <w:rFonts w:ascii="Times New Roman" w:hAnsi="Times New Roman"/>
          <w:lang w:val="uk-UA"/>
        </w:rPr>
      </w:pPr>
    </w:p>
    <w:p w:rsidR="002A1409" w:rsidRPr="00C869A3" w:rsidRDefault="00844C82" w:rsidP="00F94234">
      <w:pPr>
        <w:pStyle w:val="a4"/>
        <w:numPr>
          <w:ilvl w:val="0"/>
          <w:numId w:val="7"/>
        </w:numPr>
        <w:spacing w:after="0" w:line="240" w:lineRule="auto"/>
        <w:rPr>
          <w:rFonts w:ascii="Times New Roman" w:eastAsia="Times New Roman" w:hAnsi="Times New Roman"/>
          <w:b/>
          <w:color w:val="000000"/>
          <w:sz w:val="22"/>
          <w:szCs w:val="22"/>
          <w:lang w:val="uk-UA" w:eastAsia="ru-RU"/>
        </w:rPr>
      </w:pPr>
      <w:r w:rsidRPr="00C869A3">
        <w:rPr>
          <w:rFonts w:ascii="Times New Roman" w:hAnsi="Times New Roman"/>
          <w:b/>
          <w:lang w:val="uk-UA"/>
        </w:rPr>
        <w:t xml:space="preserve">ПБП </w:t>
      </w:r>
      <w:r w:rsidRPr="00C869A3">
        <w:rPr>
          <w:rFonts w:ascii="Times New Roman" w:eastAsia="Times New Roman" w:hAnsi="Times New Roman"/>
          <w:b/>
          <w:color w:val="000000"/>
          <w:sz w:val="22"/>
          <w:szCs w:val="22"/>
          <w:lang w:val="uk-UA" w:eastAsia="ru-RU"/>
        </w:rPr>
        <w:t>Благоустрій міст, сіл, селищ</w:t>
      </w:r>
      <w:r w:rsidR="00DA1F12" w:rsidRPr="00C869A3">
        <w:rPr>
          <w:rFonts w:ascii="Times New Roman" w:eastAsia="Times New Roman" w:hAnsi="Times New Roman"/>
          <w:b/>
          <w:color w:val="000000"/>
          <w:sz w:val="22"/>
          <w:szCs w:val="22"/>
          <w:lang w:val="uk-UA" w:eastAsia="ru-RU"/>
        </w:rPr>
        <w:t xml:space="preserve"> – 0 балів</w:t>
      </w:r>
    </w:p>
    <w:p w:rsidR="00C869A3" w:rsidRPr="00C869A3" w:rsidRDefault="00C869A3" w:rsidP="00C869A3">
      <w:pPr>
        <w:pStyle w:val="a4"/>
        <w:spacing w:after="0" w:line="240" w:lineRule="auto"/>
        <w:ind w:left="0"/>
        <w:jc w:val="center"/>
        <w:rPr>
          <w:rFonts w:ascii="Times New Roman" w:hAnsi="Times New Roman"/>
          <w:b/>
          <w:lang w:val="uk-UA"/>
        </w:rPr>
      </w:pPr>
      <w:r w:rsidRPr="00C869A3">
        <w:rPr>
          <w:rFonts w:ascii="Times New Roman" w:hAnsi="Times New Roman"/>
          <w:b/>
          <w:lang w:val="uk-UA"/>
        </w:rPr>
        <w:t>ГБРК - Баштанська міська рада</w:t>
      </w:r>
    </w:p>
    <w:p w:rsidR="00C869A3" w:rsidRPr="00C869A3" w:rsidRDefault="00C869A3" w:rsidP="00C869A3">
      <w:pPr>
        <w:pStyle w:val="a4"/>
        <w:spacing w:after="0" w:line="240" w:lineRule="auto"/>
        <w:ind w:left="0"/>
        <w:rPr>
          <w:rFonts w:ascii="Times New Roman" w:hAnsi="Times New Roman"/>
          <w:b/>
          <w:lang w:val="uk-UA"/>
        </w:rPr>
      </w:pPr>
    </w:p>
    <w:p w:rsidR="002A1409" w:rsidRDefault="00844C82" w:rsidP="0087443B">
      <w:pPr>
        <w:spacing w:after="0" w:line="240" w:lineRule="auto"/>
        <w:rPr>
          <w:rFonts w:ascii="Times New Roman" w:hAnsi="Times New Roman"/>
          <w:lang w:val="uk-UA"/>
        </w:rPr>
      </w:pPr>
      <w:r>
        <w:rPr>
          <w:rFonts w:ascii="Times New Roman" w:hAnsi="Times New Roman"/>
          <w:lang w:val="uk-UA"/>
        </w:rPr>
        <w:t>По даному паспорту передбачена реалізація наступних завдань</w:t>
      </w:r>
    </w:p>
    <w:p w:rsidR="00844C82" w:rsidRDefault="00844C82" w:rsidP="00844C82">
      <w:pPr>
        <w:pStyle w:val="a4"/>
        <w:numPr>
          <w:ilvl w:val="0"/>
          <w:numId w:val="5"/>
        </w:numPr>
        <w:spacing w:after="0" w:line="240" w:lineRule="auto"/>
        <w:rPr>
          <w:rFonts w:ascii="Times New Roman" w:hAnsi="Times New Roman"/>
          <w:lang w:val="uk-UA"/>
        </w:rPr>
      </w:pPr>
      <w:r>
        <w:rPr>
          <w:rFonts w:ascii="Times New Roman" w:hAnsi="Times New Roman"/>
          <w:lang w:val="uk-UA"/>
        </w:rPr>
        <w:t>забезпечення функціонування об</w:t>
      </w:r>
      <w:r w:rsidRPr="00844C82">
        <w:rPr>
          <w:rFonts w:ascii="Times New Roman" w:hAnsi="Times New Roman"/>
          <w:lang w:val="uk-UA"/>
        </w:rPr>
        <w:t>’єктів благоустрою, виконання робі</w:t>
      </w:r>
      <w:r w:rsidR="00DA1F12">
        <w:rPr>
          <w:rFonts w:ascii="Times New Roman" w:hAnsi="Times New Roman"/>
          <w:lang w:val="uk-UA"/>
        </w:rPr>
        <w:t>т</w:t>
      </w:r>
      <w:r w:rsidRPr="00844C82">
        <w:rPr>
          <w:rFonts w:ascii="Times New Roman" w:hAnsi="Times New Roman"/>
          <w:lang w:val="uk-UA"/>
        </w:rPr>
        <w:t xml:space="preserve"> з благоустрою</w:t>
      </w:r>
    </w:p>
    <w:p w:rsidR="00844C82" w:rsidRDefault="00844C82" w:rsidP="00844C82">
      <w:pPr>
        <w:pStyle w:val="a4"/>
        <w:numPr>
          <w:ilvl w:val="0"/>
          <w:numId w:val="5"/>
        </w:numPr>
        <w:spacing w:after="0" w:line="240" w:lineRule="auto"/>
        <w:rPr>
          <w:rFonts w:ascii="Times New Roman" w:hAnsi="Times New Roman"/>
          <w:lang w:val="uk-UA"/>
        </w:rPr>
      </w:pPr>
      <w:r w:rsidRPr="00844C82">
        <w:rPr>
          <w:rFonts w:ascii="Times New Roman" w:hAnsi="Times New Roman"/>
          <w:lang w:val="uk-UA"/>
        </w:rPr>
        <w:t>регулювання чисельності безпритульних тварин</w:t>
      </w:r>
      <w:r>
        <w:rPr>
          <w:rFonts w:ascii="Times New Roman" w:hAnsi="Times New Roman"/>
          <w:lang w:val="uk-UA"/>
        </w:rPr>
        <w:t>.</w:t>
      </w:r>
    </w:p>
    <w:p w:rsidR="00844C82" w:rsidRPr="00844C82" w:rsidRDefault="00DA1F12" w:rsidP="00844C82">
      <w:pPr>
        <w:spacing w:after="0" w:line="240" w:lineRule="auto"/>
        <w:rPr>
          <w:rFonts w:ascii="Times New Roman" w:hAnsi="Times New Roman"/>
          <w:lang w:val="uk-UA"/>
        </w:rPr>
      </w:pPr>
      <w:r>
        <w:rPr>
          <w:rFonts w:ascii="Times New Roman" w:hAnsi="Times New Roman"/>
          <w:lang w:val="uk-UA"/>
        </w:rPr>
        <w:t xml:space="preserve">Завдання ПБП та наведений перелік результативних показників повністю не корелюється з типовими завданнями та пакетом результативних показників Наказу 945  </w:t>
      </w:r>
    </w:p>
    <w:p w:rsidR="00844C82" w:rsidRPr="00844C82" w:rsidRDefault="00844C82" w:rsidP="00844C82">
      <w:pPr>
        <w:pStyle w:val="a4"/>
        <w:spacing w:after="0" w:line="240" w:lineRule="auto"/>
        <w:ind w:left="1080"/>
        <w:rPr>
          <w:rFonts w:ascii="Times New Roman" w:hAnsi="Times New Roman"/>
          <w:lang w:val="uk-UA"/>
        </w:rPr>
      </w:pPr>
    </w:p>
    <w:p w:rsidR="00604646" w:rsidRPr="00F94234" w:rsidRDefault="00DA1F12" w:rsidP="00F94234">
      <w:pPr>
        <w:pStyle w:val="a4"/>
        <w:numPr>
          <w:ilvl w:val="0"/>
          <w:numId w:val="7"/>
        </w:numPr>
        <w:spacing w:after="0" w:line="240" w:lineRule="auto"/>
        <w:jc w:val="center"/>
        <w:rPr>
          <w:rFonts w:ascii="Times New Roman" w:hAnsi="Times New Roman"/>
          <w:b/>
          <w:lang w:val="uk-UA"/>
        </w:rPr>
      </w:pPr>
      <w:r w:rsidRPr="00F94234">
        <w:rPr>
          <w:rFonts w:ascii="Times New Roman" w:hAnsi="Times New Roman"/>
          <w:b/>
          <w:lang w:val="uk-UA"/>
        </w:rPr>
        <w:t xml:space="preserve"> ПБП «</w:t>
      </w:r>
      <w:r w:rsidRPr="00F94234">
        <w:rPr>
          <w:rFonts w:ascii="Times New Roman" w:eastAsia="Times New Roman" w:hAnsi="Times New Roman"/>
          <w:b/>
          <w:color w:val="000000"/>
          <w:sz w:val="22"/>
          <w:szCs w:val="22"/>
          <w:lang w:val="uk-UA" w:eastAsia="ru-RU"/>
        </w:rPr>
        <w:t>Фінансова підтримка об’єктів комунального господарства»</w:t>
      </w:r>
    </w:p>
    <w:p w:rsidR="007A2C9C" w:rsidRDefault="007A2C9C" w:rsidP="007A2C9C">
      <w:pPr>
        <w:spacing w:after="0" w:line="240" w:lineRule="auto"/>
        <w:rPr>
          <w:rFonts w:ascii="Times New Roman" w:hAnsi="Times New Roman"/>
          <w:lang w:val="uk-UA"/>
        </w:rPr>
      </w:pPr>
      <w:r>
        <w:rPr>
          <w:rFonts w:ascii="Times New Roman" w:hAnsi="Times New Roman"/>
          <w:lang w:val="uk-UA"/>
        </w:rPr>
        <w:t>По даному паспорту передбачена реалізація наступних завдань:</w:t>
      </w:r>
    </w:p>
    <w:p w:rsidR="00604646" w:rsidRPr="00CF0EA5" w:rsidRDefault="00604646" w:rsidP="0087443B">
      <w:pPr>
        <w:spacing w:after="0" w:line="240" w:lineRule="auto"/>
        <w:rPr>
          <w:rFonts w:ascii="Times New Roman" w:hAnsi="Times New Roman"/>
          <w:lang w:val="uk-UA"/>
        </w:rPr>
      </w:pPr>
    </w:p>
    <w:tbl>
      <w:tblPr>
        <w:tblW w:w="9271" w:type="dxa"/>
        <w:tblInd w:w="95" w:type="dxa"/>
        <w:tblLook w:val="04A0"/>
      </w:tblPr>
      <w:tblGrid>
        <w:gridCol w:w="1120"/>
        <w:gridCol w:w="3571"/>
        <w:gridCol w:w="1380"/>
        <w:gridCol w:w="1600"/>
        <w:gridCol w:w="1600"/>
      </w:tblGrid>
      <w:tr w:rsidR="00604646" w:rsidRPr="00C869A3" w:rsidTr="00604646">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0116050</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xml:space="preserve">Фінансова підтримка </w:t>
            </w:r>
            <w:r w:rsidR="00F94234" w:rsidRPr="00C869A3">
              <w:rPr>
                <w:rFonts w:ascii="Times New Roman" w:eastAsia="Times New Roman" w:hAnsi="Times New Roman"/>
                <w:sz w:val="20"/>
                <w:szCs w:val="20"/>
                <w:lang w:val="uk-UA" w:eastAsia="ru-RU"/>
              </w:rPr>
              <w:t>об’єктів</w:t>
            </w:r>
            <w:r w:rsidRPr="00C869A3">
              <w:rPr>
                <w:rFonts w:ascii="Times New Roman" w:eastAsia="Times New Roman" w:hAnsi="Times New Roman"/>
                <w:sz w:val="20"/>
                <w:szCs w:val="20"/>
                <w:lang w:val="uk-UA" w:eastAsia="ru-RU"/>
              </w:rPr>
              <w:t xml:space="preserve"> комунального господарства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r>
      <w:tr w:rsidR="00604646" w:rsidRPr="00C869A3" w:rsidTr="00604646">
        <w:trPr>
          <w:trHeight w:val="48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000000"/>
                <w:sz w:val="20"/>
                <w:szCs w:val="20"/>
                <w:lang w:val="uk-UA" w:eastAsia="ru-RU"/>
              </w:rPr>
            </w:pPr>
            <w:r w:rsidRPr="00C869A3">
              <w:rPr>
                <w:rFonts w:ascii="Times New Roman" w:eastAsia="Times New Roman" w:hAnsi="Times New Roman"/>
                <w:color w:val="000000"/>
                <w:sz w:val="20"/>
                <w:szCs w:val="20"/>
                <w:lang w:val="uk-UA" w:eastAsia="ru-RU"/>
              </w:rPr>
              <w:t>0116052</w:t>
            </w:r>
          </w:p>
        </w:tc>
        <w:tc>
          <w:tcPr>
            <w:tcW w:w="8151" w:type="dxa"/>
            <w:gridSpan w:val="4"/>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i/>
                <w:iCs/>
                <w:sz w:val="20"/>
                <w:szCs w:val="20"/>
                <w:lang w:val="uk-UA" w:eastAsia="ru-RU"/>
              </w:rPr>
            </w:pPr>
            <w:r w:rsidRPr="00C869A3">
              <w:rPr>
                <w:rFonts w:ascii="Times New Roman" w:eastAsia="Times New Roman" w:hAnsi="Times New Roman"/>
                <w:i/>
                <w:iCs/>
                <w:sz w:val="20"/>
                <w:szCs w:val="20"/>
                <w:lang w:val="uk-UA" w:eastAsia="ru-RU"/>
              </w:rPr>
              <w:t xml:space="preserve">Забезпечення функціонування </w:t>
            </w:r>
            <w:proofErr w:type="spellStart"/>
            <w:r w:rsidRPr="00C869A3">
              <w:rPr>
                <w:rFonts w:ascii="Times New Roman" w:eastAsia="Times New Roman" w:hAnsi="Times New Roman"/>
                <w:i/>
                <w:iCs/>
                <w:sz w:val="20"/>
                <w:szCs w:val="20"/>
                <w:lang w:val="uk-UA" w:eastAsia="ru-RU"/>
              </w:rPr>
              <w:t>водопровідно-</w:t>
            </w:r>
            <w:proofErr w:type="spellEnd"/>
            <w:r w:rsidRPr="00C869A3">
              <w:rPr>
                <w:rFonts w:ascii="Times New Roman" w:eastAsia="Times New Roman" w:hAnsi="Times New Roman"/>
                <w:i/>
                <w:iCs/>
                <w:sz w:val="20"/>
                <w:szCs w:val="20"/>
                <w:lang w:val="uk-UA" w:eastAsia="ru-RU"/>
              </w:rPr>
              <w:t xml:space="preserve"> каналізаційного господарства</w:t>
            </w:r>
          </w:p>
        </w:tc>
      </w:tr>
      <w:tr w:rsidR="00604646" w:rsidRPr="00C869A3" w:rsidTr="00604646">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b/>
                <w:bCs/>
                <w:sz w:val="20"/>
                <w:szCs w:val="20"/>
                <w:lang w:val="uk-UA" w:eastAsia="ru-RU"/>
              </w:rPr>
            </w:pPr>
            <w:r w:rsidRPr="00C869A3">
              <w:rPr>
                <w:rFonts w:ascii="Times New Roman" w:eastAsia="Times New Roman" w:hAnsi="Times New Roman"/>
                <w:b/>
                <w:bCs/>
                <w:sz w:val="20"/>
                <w:szCs w:val="20"/>
                <w:lang w:val="uk-UA" w:eastAsia="ru-RU"/>
              </w:rPr>
              <w:t>Показники затрат</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r>
      <w:tr w:rsidR="00604646" w:rsidRPr="00C869A3" w:rsidTr="00604646">
        <w:trPr>
          <w:trHeight w:val="39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кількість штатних одиниць</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4,5</w:t>
            </w:r>
          </w:p>
        </w:tc>
      </w:tr>
      <w:tr w:rsidR="00604646" w:rsidRPr="00C869A3" w:rsidTr="00604646">
        <w:trPr>
          <w:trHeight w:val="52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кількість об'єктів водопостачання, які обслуговуються</w:t>
            </w:r>
          </w:p>
        </w:tc>
        <w:tc>
          <w:tcPr>
            <w:tcW w:w="138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4</w:t>
            </w:r>
          </w:p>
        </w:tc>
      </w:tr>
      <w:tr w:rsidR="00604646" w:rsidRPr="00C869A3" w:rsidTr="00604646">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b/>
                <w:bCs/>
                <w:sz w:val="20"/>
                <w:szCs w:val="20"/>
                <w:lang w:val="uk-UA" w:eastAsia="ru-RU"/>
              </w:rPr>
            </w:pPr>
            <w:r w:rsidRPr="00C869A3">
              <w:rPr>
                <w:rFonts w:ascii="Times New Roman" w:eastAsia="Times New Roman" w:hAnsi="Times New Roman"/>
                <w:b/>
                <w:bCs/>
                <w:sz w:val="20"/>
                <w:szCs w:val="20"/>
                <w:lang w:val="uk-UA" w:eastAsia="ru-RU"/>
              </w:rPr>
              <w:t>Показники продукту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r>
      <w:tr w:rsidR="00604646" w:rsidRPr="00C869A3" w:rsidTr="00604646">
        <w:trPr>
          <w:trHeight w:val="4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xml:space="preserve">Обсяг видатків передбачений на оплату праці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130006,24</w:t>
            </w:r>
          </w:p>
        </w:tc>
      </w:tr>
      <w:tr w:rsidR="00604646" w:rsidRPr="00C869A3" w:rsidTr="00604646">
        <w:trPr>
          <w:trHeight w:val="6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Обсяг видатків на утримання об"</w:t>
            </w:r>
            <w:proofErr w:type="spellStart"/>
            <w:r w:rsidRPr="00C869A3">
              <w:rPr>
                <w:rFonts w:ascii="Times New Roman" w:eastAsia="Times New Roman" w:hAnsi="Times New Roman"/>
                <w:sz w:val="20"/>
                <w:szCs w:val="20"/>
                <w:lang w:val="uk-UA" w:eastAsia="ru-RU"/>
              </w:rPr>
              <w:t>єктів</w:t>
            </w:r>
            <w:proofErr w:type="spellEnd"/>
            <w:r w:rsidRPr="00C869A3">
              <w:rPr>
                <w:rFonts w:ascii="Times New Roman" w:eastAsia="Times New Roman" w:hAnsi="Times New Roman"/>
                <w:sz w:val="20"/>
                <w:szCs w:val="20"/>
                <w:lang w:val="uk-UA" w:eastAsia="ru-RU"/>
              </w:rPr>
              <w:t xml:space="preserve"> водопостачання </w:t>
            </w:r>
          </w:p>
        </w:tc>
        <w:tc>
          <w:tcPr>
            <w:tcW w:w="138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310608,49</w:t>
            </w:r>
          </w:p>
        </w:tc>
      </w:tr>
      <w:tr w:rsidR="00604646" w:rsidRPr="00C869A3" w:rsidTr="00604646">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b/>
                <w:bCs/>
                <w:sz w:val="20"/>
                <w:szCs w:val="20"/>
                <w:lang w:val="uk-UA" w:eastAsia="ru-RU"/>
              </w:rPr>
            </w:pPr>
            <w:r w:rsidRPr="00C869A3">
              <w:rPr>
                <w:rFonts w:ascii="Times New Roman" w:eastAsia="Times New Roman" w:hAnsi="Times New Roman"/>
                <w:b/>
                <w:bCs/>
                <w:sz w:val="20"/>
                <w:szCs w:val="20"/>
                <w:lang w:val="uk-UA" w:eastAsia="ru-RU"/>
              </w:rPr>
              <w:t>Показники ефективності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 </w:t>
            </w:r>
          </w:p>
        </w:tc>
      </w:tr>
      <w:tr w:rsidR="00604646" w:rsidRPr="00C869A3" w:rsidTr="00604646">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середні витрати на утримання 1 штатної одиниці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69024,11</w:t>
            </w:r>
          </w:p>
        </w:tc>
      </w:tr>
      <w:tr w:rsidR="00604646" w:rsidRPr="00C869A3" w:rsidTr="00604646">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lastRenderedPageBreak/>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середні витрати на  утримання  1 об"</w:t>
            </w:r>
            <w:proofErr w:type="spellStart"/>
            <w:r w:rsidRPr="00C869A3">
              <w:rPr>
                <w:rFonts w:ascii="Times New Roman" w:eastAsia="Times New Roman" w:hAnsi="Times New Roman"/>
                <w:sz w:val="20"/>
                <w:szCs w:val="20"/>
                <w:lang w:val="uk-UA" w:eastAsia="ru-RU"/>
              </w:rPr>
              <w:t>єкту</w:t>
            </w:r>
            <w:proofErr w:type="spellEnd"/>
          </w:p>
        </w:tc>
        <w:tc>
          <w:tcPr>
            <w:tcW w:w="138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77652,12</w:t>
            </w:r>
          </w:p>
        </w:tc>
      </w:tr>
      <w:tr w:rsidR="00604646" w:rsidRPr="00C869A3" w:rsidTr="00604646">
        <w:trPr>
          <w:trHeight w:val="3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3571" w:type="dxa"/>
            <w:tcBorders>
              <w:top w:val="single" w:sz="4" w:space="0" w:color="000000"/>
              <w:left w:val="nil"/>
              <w:bottom w:val="nil"/>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b/>
                <w:bCs/>
                <w:sz w:val="20"/>
                <w:szCs w:val="20"/>
                <w:lang w:val="uk-UA" w:eastAsia="ru-RU"/>
              </w:rPr>
            </w:pPr>
            <w:r w:rsidRPr="00C869A3">
              <w:rPr>
                <w:rFonts w:ascii="Times New Roman" w:eastAsia="Times New Roman" w:hAnsi="Times New Roman"/>
                <w:b/>
                <w:bCs/>
                <w:sz w:val="20"/>
                <w:szCs w:val="20"/>
                <w:lang w:val="uk-UA" w:eastAsia="ru-RU"/>
              </w:rPr>
              <w:t xml:space="preserve">Показники якості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color w:val="FF0000"/>
                <w:sz w:val="20"/>
                <w:szCs w:val="20"/>
                <w:lang w:val="uk-UA" w:eastAsia="ru-RU"/>
              </w:rPr>
            </w:pPr>
            <w:r w:rsidRPr="00C869A3">
              <w:rPr>
                <w:rFonts w:ascii="Times New Roman" w:eastAsia="Times New Roman" w:hAnsi="Times New Roman"/>
                <w:color w:val="FF0000"/>
                <w:sz w:val="20"/>
                <w:szCs w:val="20"/>
                <w:lang w:val="uk-UA" w:eastAsia="ru-RU"/>
              </w:rPr>
              <w:t> </w:t>
            </w:r>
          </w:p>
        </w:tc>
      </w:tr>
      <w:tr w:rsidR="00604646" w:rsidRPr="00C869A3" w:rsidTr="00604646">
        <w:trPr>
          <w:trHeight w:val="6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0116052</w:t>
            </w:r>
          </w:p>
        </w:tc>
        <w:tc>
          <w:tcPr>
            <w:tcW w:w="3571" w:type="dxa"/>
            <w:tcBorders>
              <w:top w:val="single" w:sz="4" w:space="0" w:color="auto"/>
              <w:left w:val="nil"/>
              <w:bottom w:val="single" w:sz="4" w:space="0" w:color="auto"/>
              <w:right w:val="single" w:sz="4" w:space="0" w:color="000000"/>
            </w:tcBorders>
            <w:shd w:val="clear" w:color="auto" w:fill="auto"/>
            <w:hideMark/>
          </w:tcPr>
          <w:p w:rsidR="00604646" w:rsidRPr="00C869A3" w:rsidRDefault="00604646" w:rsidP="0087443B">
            <w:pPr>
              <w:spacing w:after="0" w:line="240" w:lineRule="auto"/>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відсоток кількості об'єктів водопостачання, на які планується проведення поточного ремонту, до кількості об'єктів, які його потребують</w:t>
            </w:r>
          </w:p>
        </w:tc>
        <w:tc>
          <w:tcPr>
            <w:tcW w:w="138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center"/>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hideMark/>
          </w:tcPr>
          <w:p w:rsidR="00604646" w:rsidRPr="00C869A3" w:rsidRDefault="00604646" w:rsidP="0087443B">
            <w:pPr>
              <w:spacing w:after="0" w:line="240" w:lineRule="auto"/>
              <w:jc w:val="right"/>
              <w:rPr>
                <w:rFonts w:ascii="Times New Roman" w:eastAsia="Times New Roman" w:hAnsi="Times New Roman"/>
                <w:sz w:val="20"/>
                <w:szCs w:val="20"/>
                <w:lang w:val="uk-UA" w:eastAsia="ru-RU"/>
              </w:rPr>
            </w:pPr>
            <w:r w:rsidRPr="00C869A3">
              <w:rPr>
                <w:rFonts w:ascii="Times New Roman" w:eastAsia="Times New Roman" w:hAnsi="Times New Roman"/>
                <w:sz w:val="20"/>
                <w:szCs w:val="20"/>
                <w:lang w:val="uk-UA" w:eastAsia="ru-RU"/>
              </w:rPr>
              <w:t>100</w:t>
            </w:r>
          </w:p>
        </w:tc>
      </w:tr>
    </w:tbl>
    <w:p w:rsidR="00604646" w:rsidRPr="00CF0EA5" w:rsidRDefault="00604646" w:rsidP="0087443B">
      <w:pPr>
        <w:spacing w:after="0" w:line="240" w:lineRule="auto"/>
        <w:rPr>
          <w:rFonts w:ascii="Times New Roman" w:hAnsi="Times New Roman"/>
          <w:lang w:val="uk-UA"/>
        </w:rPr>
      </w:pPr>
    </w:p>
    <w:p w:rsidR="00604646" w:rsidRPr="00CF0EA5" w:rsidRDefault="00604646" w:rsidP="0087443B">
      <w:pPr>
        <w:spacing w:after="0" w:line="240" w:lineRule="auto"/>
        <w:rPr>
          <w:rFonts w:ascii="Times New Roman" w:hAnsi="Times New Roman"/>
          <w:lang w:val="uk-UA"/>
        </w:rPr>
      </w:pPr>
      <w:r w:rsidRPr="00CF0EA5">
        <w:rPr>
          <w:rFonts w:ascii="Times New Roman" w:hAnsi="Times New Roman"/>
          <w:lang w:val="uk-UA"/>
        </w:rPr>
        <w:t xml:space="preserve"> Наказ 945</w:t>
      </w:r>
      <w:r w:rsidR="00E344A8">
        <w:rPr>
          <w:rFonts w:ascii="Times New Roman" w:hAnsi="Times New Roman"/>
          <w:lang w:val="uk-UA"/>
        </w:rPr>
        <w:t xml:space="preserve"> має наступний перелік завдань та відповідний пакет показників»</w:t>
      </w:r>
      <w:r w:rsidR="007A2C9C">
        <w:rPr>
          <w:rFonts w:ascii="Times New Roman" w:hAnsi="Times New Roman"/>
          <w:lang w:val="uk-UA"/>
        </w:rPr>
        <w:t>:</w:t>
      </w:r>
    </w:p>
    <w:p w:rsidR="00604646" w:rsidRPr="00CF0EA5" w:rsidRDefault="00604646" w:rsidP="0087443B">
      <w:pPr>
        <w:spacing w:after="0" w:line="240" w:lineRule="auto"/>
        <w:rPr>
          <w:rFonts w:ascii="Times New Roman" w:hAnsi="Times New Roman"/>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18"/>
        <w:gridCol w:w="5782"/>
      </w:tblGrid>
      <w:tr w:rsidR="00604646" w:rsidRPr="00EE2253" w:rsidTr="00D0629A">
        <w:trPr>
          <w:tblCellSpacing w:w="22"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Забезпечення надання підтримки підприємствам водопровідно-каналізаційного господарства</w:t>
            </w: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b/>
                <w:bCs/>
                <w:sz w:val="20"/>
                <w:szCs w:val="20"/>
                <w:lang w:val="uk-UA"/>
              </w:rPr>
              <w:t>Показники затрат:</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кількість підприємств водопровідно-каналізаційного господарства, які потребують підтримки, од.;</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сума збитків станом на початок року, тис. грн.</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b/>
                <w:bCs/>
                <w:sz w:val="20"/>
                <w:szCs w:val="20"/>
                <w:lang w:val="uk-UA"/>
              </w:rPr>
              <w:t>Показники продукту:</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кількість підприємств водопровідно-каналізаційного господарства, яким планується надання підтримки, од.</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b/>
                <w:bCs/>
                <w:sz w:val="20"/>
                <w:szCs w:val="20"/>
                <w:lang w:val="uk-UA"/>
              </w:rPr>
              <w:t>Показники ефективності:</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середня сума підтримки одному збитковому підприємству, тис. грн.</w:t>
            </w:r>
          </w:p>
        </w:tc>
      </w:tr>
      <w:tr w:rsidR="00604646" w:rsidRPr="00EE2253"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b/>
                <w:bCs/>
                <w:sz w:val="20"/>
                <w:szCs w:val="20"/>
                <w:lang w:val="uk-UA"/>
              </w:rPr>
              <w:t>Показники якості:</w:t>
            </w:r>
          </w:p>
        </w:tc>
      </w:tr>
      <w:tr w:rsidR="00604646" w:rsidRPr="00553129" w:rsidTr="00D0629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46" w:rsidRPr="00EE2253" w:rsidRDefault="00604646" w:rsidP="0087443B">
            <w:pPr>
              <w:spacing w:after="0" w:line="240" w:lineRule="auto"/>
              <w:rPr>
                <w:rFonts w:ascii="Times New Roman" w:hAnsi="Times New Roman"/>
                <w:sz w:val="20"/>
                <w:szCs w:val="20"/>
                <w:lang w:val="uk-UA"/>
              </w:rPr>
            </w:pPr>
          </w:p>
        </w:tc>
        <w:tc>
          <w:tcPr>
            <w:tcW w:w="2150" w:type="pct"/>
            <w:tcBorders>
              <w:top w:val="outset" w:sz="6" w:space="0" w:color="auto"/>
              <w:left w:val="outset" w:sz="6" w:space="0" w:color="auto"/>
              <w:bottom w:val="outset" w:sz="6" w:space="0" w:color="auto"/>
              <w:right w:val="outset" w:sz="6" w:space="0" w:color="auto"/>
            </w:tcBorders>
            <w:hideMark/>
          </w:tcPr>
          <w:p w:rsidR="00604646" w:rsidRPr="00EE2253" w:rsidRDefault="00604646" w:rsidP="0087443B">
            <w:pPr>
              <w:pStyle w:val="a3"/>
              <w:spacing w:before="0" w:beforeAutospacing="0" w:after="0" w:afterAutospacing="0"/>
              <w:rPr>
                <w:sz w:val="20"/>
                <w:szCs w:val="20"/>
                <w:lang w:val="uk-UA"/>
              </w:rPr>
            </w:pPr>
            <w:r w:rsidRPr="00EE2253">
              <w:rPr>
                <w:sz w:val="20"/>
                <w:szCs w:val="20"/>
                <w:lang w:val="uk-UA"/>
              </w:rPr>
              <w:t>питома вага підприємств водопровідно-каналізаційного господарства, яким планується надання дотації, до кількості підприємств, які її потребують, %</w:t>
            </w:r>
          </w:p>
        </w:tc>
      </w:tr>
    </w:tbl>
    <w:p w:rsidR="00604646" w:rsidRPr="00CF0EA5" w:rsidRDefault="00E344A8" w:rsidP="0087443B">
      <w:pPr>
        <w:spacing w:after="0" w:line="240" w:lineRule="auto"/>
        <w:rPr>
          <w:rFonts w:ascii="Times New Roman" w:hAnsi="Times New Roman"/>
          <w:lang w:val="uk-UA"/>
        </w:rPr>
      </w:pPr>
      <w:r>
        <w:rPr>
          <w:rFonts w:ascii="Times New Roman" w:hAnsi="Times New Roman"/>
          <w:lang w:val="uk-UA"/>
        </w:rPr>
        <w:t>Отже пакет результативних показників не відповідає типовому переліку Наказу 945 по даній бюджетній програмі</w:t>
      </w:r>
    </w:p>
    <w:p w:rsidR="003B33C0" w:rsidRPr="00CF0EA5" w:rsidRDefault="003B33C0" w:rsidP="0087443B">
      <w:pPr>
        <w:spacing w:after="0" w:line="240" w:lineRule="auto"/>
        <w:rPr>
          <w:rFonts w:ascii="Times New Roman" w:hAnsi="Times New Roman"/>
          <w:lang w:val="uk-UA"/>
        </w:rPr>
      </w:pPr>
    </w:p>
    <w:p w:rsidR="003B33C0" w:rsidRPr="00F94234" w:rsidRDefault="00E344A8" w:rsidP="00F94234">
      <w:pPr>
        <w:pStyle w:val="a4"/>
        <w:numPr>
          <w:ilvl w:val="0"/>
          <w:numId w:val="7"/>
        </w:numPr>
        <w:spacing w:after="0" w:line="240" w:lineRule="auto"/>
        <w:jc w:val="center"/>
        <w:rPr>
          <w:rFonts w:ascii="Times New Roman" w:hAnsi="Times New Roman"/>
          <w:b/>
          <w:lang w:val="uk-UA"/>
        </w:rPr>
      </w:pPr>
      <w:r w:rsidRPr="00F94234">
        <w:rPr>
          <w:rFonts w:ascii="Times New Roman" w:hAnsi="Times New Roman"/>
          <w:b/>
          <w:lang w:val="uk-UA"/>
        </w:rPr>
        <w:t xml:space="preserve">ПБП </w:t>
      </w:r>
      <w:r w:rsidRPr="00F94234">
        <w:rPr>
          <w:rFonts w:ascii="Times New Roman" w:eastAsia="Times New Roman" w:hAnsi="Times New Roman"/>
          <w:b/>
          <w:color w:val="000000"/>
          <w:sz w:val="22"/>
          <w:szCs w:val="22"/>
          <w:lang w:val="uk-UA" w:eastAsia="ru-RU"/>
        </w:rPr>
        <w:t>Капітальний ремонт житлового фонду</w:t>
      </w:r>
      <w:r w:rsidR="00C869A3" w:rsidRPr="00F94234">
        <w:rPr>
          <w:rFonts w:ascii="Times New Roman" w:eastAsia="Times New Roman" w:hAnsi="Times New Roman"/>
          <w:b/>
          <w:color w:val="000000"/>
          <w:sz w:val="22"/>
          <w:szCs w:val="22"/>
          <w:lang w:val="uk-UA" w:eastAsia="ru-RU"/>
        </w:rPr>
        <w:t xml:space="preserve"> -0 балів</w:t>
      </w:r>
    </w:p>
    <w:p w:rsidR="00C869A3" w:rsidRPr="00C869A3" w:rsidRDefault="00C869A3" w:rsidP="00C869A3">
      <w:pPr>
        <w:pStyle w:val="a4"/>
        <w:spacing w:after="0" w:line="240" w:lineRule="auto"/>
        <w:ind w:left="1470"/>
        <w:jc w:val="center"/>
        <w:rPr>
          <w:rFonts w:ascii="Times New Roman" w:hAnsi="Times New Roman"/>
          <w:b/>
          <w:lang w:val="uk-UA"/>
        </w:rPr>
      </w:pPr>
      <w:r w:rsidRPr="00C869A3">
        <w:rPr>
          <w:rFonts w:ascii="Times New Roman" w:hAnsi="Times New Roman"/>
          <w:b/>
          <w:lang w:val="uk-UA"/>
        </w:rPr>
        <w:t>ГБРК - Баштанська міська рада</w:t>
      </w:r>
    </w:p>
    <w:p w:rsidR="00C869A3" w:rsidRPr="00C869A3" w:rsidRDefault="00C869A3" w:rsidP="00C869A3">
      <w:pPr>
        <w:pStyle w:val="a4"/>
        <w:spacing w:after="0" w:line="240" w:lineRule="auto"/>
        <w:ind w:left="0"/>
        <w:rPr>
          <w:rFonts w:ascii="Times New Roman" w:hAnsi="Times New Roman"/>
          <w:b/>
          <w:lang w:val="uk-UA"/>
        </w:rPr>
      </w:pPr>
    </w:p>
    <w:p w:rsidR="003B33C0" w:rsidRPr="00CF0EA5" w:rsidRDefault="003B33C0" w:rsidP="0087443B">
      <w:pPr>
        <w:spacing w:after="0" w:line="240" w:lineRule="auto"/>
        <w:rPr>
          <w:rFonts w:ascii="Times New Roman" w:hAnsi="Times New Roman"/>
          <w:lang w:val="uk-UA"/>
        </w:rPr>
      </w:pPr>
    </w:p>
    <w:p w:rsidR="00E344A8" w:rsidRPr="00CF0EA5" w:rsidRDefault="00E344A8" w:rsidP="00C869A3">
      <w:pPr>
        <w:spacing w:after="0" w:line="240" w:lineRule="auto"/>
        <w:jc w:val="both"/>
        <w:rPr>
          <w:rFonts w:ascii="Times New Roman" w:hAnsi="Times New Roman"/>
          <w:lang w:val="uk-UA"/>
        </w:rPr>
      </w:pPr>
      <w:r>
        <w:rPr>
          <w:rFonts w:ascii="Times New Roman" w:hAnsi="Times New Roman"/>
          <w:lang w:val="uk-UA"/>
        </w:rPr>
        <w:t>Результативні п</w:t>
      </w:r>
      <w:r w:rsidR="003B33C0" w:rsidRPr="00CF0EA5">
        <w:rPr>
          <w:rFonts w:ascii="Times New Roman" w:hAnsi="Times New Roman"/>
          <w:lang w:val="uk-UA"/>
        </w:rPr>
        <w:t xml:space="preserve">оказники </w:t>
      </w:r>
      <w:r>
        <w:rPr>
          <w:rFonts w:ascii="Times New Roman" w:hAnsi="Times New Roman"/>
          <w:lang w:val="uk-UA"/>
        </w:rPr>
        <w:t>повністю не відповіда</w:t>
      </w:r>
      <w:r w:rsidR="00F94234">
        <w:rPr>
          <w:rFonts w:ascii="Times New Roman" w:hAnsi="Times New Roman"/>
          <w:lang w:val="uk-UA"/>
        </w:rPr>
        <w:t>ють</w:t>
      </w:r>
      <w:r>
        <w:rPr>
          <w:rFonts w:ascii="Times New Roman" w:hAnsi="Times New Roman"/>
          <w:lang w:val="uk-UA"/>
        </w:rPr>
        <w:t xml:space="preserve"> типовому переліку Наказу 945 по даній бюджетній програмі</w:t>
      </w:r>
    </w:p>
    <w:p w:rsidR="003B33C0" w:rsidRPr="00CF0EA5" w:rsidRDefault="003B33C0" w:rsidP="0087443B">
      <w:pPr>
        <w:spacing w:after="0" w:line="240" w:lineRule="auto"/>
        <w:rPr>
          <w:rFonts w:ascii="Times New Roman" w:hAnsi="Times New Roman"/>
          <w:lang w:val="uk-UA"/>
        </w:rPr>
      </w:pPr>
      <w:r w:rsidRPr="00CF0EA5">
        <w:rPr>
          <w:rFonts w:ascii="Times New Roman" w:hAnsi="Times New Roman"/>
          <w:lang w:val="uk-UA"/>
        </w:rPr>
        <w:t xml:space="preserve"> </w:t>
      </w:r>
    </w:p>
    <w:p w:rsidR="0057245E" w:rsidRPr="00EE2253" w:rsidRDefault="00E344A8" w:rsidP="00F94234">
      <w:pPr>
        <w:pStyle w:val="a4"/>
        <w:numPr>
          <w:ilvl w:val="0"/>
          <w:numId w:val="7"/>
        </w:numPr>
        <w:spacing w:after="0" w:line="240" w:lineRule="auto"/>
        <w:ind w:left="0" w:firstLine="0"/>
        <w:jc w:val="center"/>
        <w:rPr>
          <w:rFonts w:ascii="Times New Roman" w:hAnsi="Times New Roman"/>
          <w:b/>
          <w:lang w:val="uk-UA"/>
        </w:rPr>
      </w:pPr>
      <w:r w:rsidRPr="00C869A3">
        <w:rPr>
          <w:rFonts w:ascii="Times New Roman" w:hAnsi="Times New Roman"/>
          <w:b/>
          <w:lang w:val="uk-UA"/>
        </w:rPr>
        <w:t>ПБП</w:t>
      </w:r>
      <w:r w:rsidRPr="00C869A3">
        <w:rPr>
          <w:rFonts w:ascii="Times New Roman" w:eastAsia="Times New Roman" w:hAnsi="Times New Roman"/>
          <w:b/>
          <w:color w:val="000000"/>
          <w:sz w:val="22"/>
          <w:szCs w:val="22"/>
          <w:lang w:val="uk-UA" w:eastAsia="ru-RU"/>
        </w:rPr>
        <w:t xml:space="preserve"> Соціальний захист ветеранів війни і праці</w:t>
      </w:r>
      <w:r w:rsidR="00C869A3">
        <w:rPr>
          <w:rFonts w:ascii="Times New Roman" w:eastAsia="Times New Roman" w:hAnsi="Times New Roman"/>
          <w:b/>
          <w:color w:val="000000"/>
          <w:sz w:val="22"/>
          <w:szCs w:val="22"/>
          <w:lang w:val="uk-UA" w:eastAsia="ru-RU"/>
        </w:rPr>
        <w:t xml:space="preserve"> – 15 балів</w:t>
      </w:r>
    </w:p>
    <w:p w:rsidR="00EE2253" w:rsidRPr="00EE2253" w:rsidRDefault="00EE2253" w:rsidP="00EE2253">
      <w:pPr>
        <w:pStyle w:val="a4"/>
        <w:spacing w:after="0" w:line="240" w:lineRule="auto"/>
        <w:ind w:left="1470"/>
        <w:jc w:val="center"/>
        <w:rPr>
          <w:rFonts w:ascii="Times New Roman" w:hAnsi="Times New Roman"/>
          <w:b/>
          <w:lang w:val="uk-UA"/>
        </w:rPr>
      </w:pPr>
      <w:r w:rsidRPr="00EE2253">
        <w:rPr>
          <w:rFonts w:ascii="Times New Roman" w:hAnsi="Times New Roman"/>
          <w:b/>
          <w:lang w:val="uk-UA"/>
        </w:rPr>
        <w:t>ГБРК - Баштанська міська рада</w:t>
      </w:r>
    </w:p>
    <w:p w:rsidR="0057245E" w:rsidRDefault="0057245E" w:rsidP="0087443B">
      <w:pPr>
        <w:spacing w:after="0" w:line="240" w:lineRule="auto"/>
        <w:rPr>
          <w:rFonts w:ascii="Times New Roman" w:hAnsi="Times New Roman"/>
          <w:lang w:val="uk-UA"/>
        </w:rPr>
      </w:pPr>
      <w:r w:rsidRPr="00CF0EA5">
        <w:rPr>
          <w:rFonts w:ascii="Times New Roman" w:hAnsi="Times New Roman"/>
          <w:lang w:val="uk-UA"/>
        </w:rPr>
        <w:t xml:space="preserve">В </w:t>
      </w:r>
      <w:r w:rsidR="00E344A8" w:rsidRPr="00CF0EA5">
        <w:rPr>
          <w:rFonts w:ascii="Times New Roman" w:hAnsi="Times New Roman"/>
          <w:lang w:val="uk-UA"/>
        </w:rPr>
        <w:t>даному</w:t>
      </w:r>
      <w:r w:rsidRPr="00CF0EA5">
        <w:rPr>
          <w:rFonts w:ascii="Times New Roman" w:hAnsi="Times New Roman"/>
          <w:lang w:val="uk-UA"/>
        </w:rPr>
        <w:t xml:space="preserve"> </w:t>
      </w:r>
      <w:r w:rsidR="00E344A8" w:rsidRPr="00CF0EA5">
        <w:rPr>
          <w:rFonts w:ascii="Times New Roman" w:hAnsi="Times New Roman"/>
          <w:lang w:val="uk-UA"/>
        </w:rPr>
        <w:t>паспорті</w:t>
      </w:r>
      <w:r w:rsidRPr="00CF0EA5">
        <w:rPr>
          <w:rFonts w:ascii="Times New Roman" w:hAnsi="Times New Roman"/>
          <w:lang w:val="uk-UA"/>
        </w:rPr>
        <w:t xml:space="preserve"> </w:t>
      </w:r>
      <w:r w:rsidR="00E344A8" w:rsidRPr="00CF0EA5">
        <w:rPr>
          <w:rFonts w:ascii="Times New Roman" w:hAnsi="Times New Roman"/>
          <w:lang w:val="uk-UA"/>
        </w:rPr>
        <w:t>бюджетної</w:t>
      </w:r>
      <w:r w:rsidRPr="00CF0EA5">
        <w:rPr>
          <w:rFonts w:ascii="Times New Roman" w:hAnsi="Times New Roman"/>
          <w:lang w:val="uk-UA"/>
        </w:rPr>
        <w:t xml:space="preserve"> програми </w:t>
      </w:r>
      <w:r w:rsidR="00E344A8" w:rsidRPr="00CF0EA5">
        <w:rPr>
          <w:rFonts w:ascii="Times New Roman" w:hAnsi="Times New Roman"/>
          <w:lang w:val="uk-UA"/>
        </w:rPr>
        <w:t>вказані</w:t>
      </w:r>
      <w:r w:rsidRPr="00CF0EA5">
        <w:rPr>
          <w:rFonts w:ascii="Times New Roman" w:hAnsi="Times New Roman"/>
          <w:lang w:val="uk-UA"/>
        </w:rPr>
        <w:t xml:space="preserve"> </w:t>
      </w:r>
      <w:r w:rsidR="00E344A8" w:rsidRPr="00CF0EA5">
        <w:rPr>
          <w:rFonts w:ascii="Times New Roman" w:hAnsi="Times New Roman"/>
          <w:lang w:val="uk-UA"/>
        </w:rPr>
        <w:t>наступні</w:t>
      </w:r>
      <w:r w:rsidRPr="00CF0EA5">
        <w:rPr>
          <w:rFonts w:ascii="Times New Roman" w:hAnsi="Times New Roman"/>
          <w:lang w:val="uk-UA"/>
        </w:rPr>
        <w:t xml:space="preserve"> задач</w:t>
      </w:r>
      <w:r w:rsidR="00E344A8">
        <w:rPr>
          <w:rFonts w:ascii="Times New Roman" w:hAnsi="Times New Roman"/>
          <w:lang w:val="uk-UA"/>
        </w:rPr>
        <w:t>і:</w:t>
      </w:r>
    </w:p>
    <w:p w:rsidR="00E344A8" w:rsidRPr="00E344A8" w:rsidRDefault="00E344A8" w:rsidP="00C869A3">
      <w:pPr>
        <w:pStyle w:val="a4"/>
        <w:numPr>
          <w:ilvl w:val="0"/>
          <w:numId w:val="10"/>
        </w:numPr>
        <w:spacing w:after="0" w:line="240" w:lineRule="auto"/>
        <w:rPr>
          <w:rFonts w:ascii="Times New Roman" w:hAnsi="Times New Roman"/>
          <w:lang w:val="uk-UA"/>
        </w:rPr>
      </w:pPr>
      <w:r w:rsidRPr="00CF0EA5">
        <w:rPr>
          <w:rFonts w:ascii="Times New Roman" w:eastAsia="Times New Roman" w:hAnsi="Times New Roman"/>
          <w:sz w:val="18"/>
          <w:szCs w:val="18"/>
          <w:lang w:val="uk-UA" w:eastAsia="ru-RU"/>
        </w:rPr>
        <w:t xml:space="preserve">надання одноразової матеріальної допомоги  дітям військовослужбовцям, які загинули або померли внаслідок поранення , контузії чи каліцтва, одержаних при виконанні службових обов’язків на тимчасово окупованій території Автономної Республіки Крим, м. Севастополя та під час </w:t>
      </w:r>
      <w:r w:rsidR="00552B1A" w:rsidRPr="00CF0EA5">
        <w:rPr>
          <w:rFonts w:ascii="Times New Roman" w:eastAsia="Times New Roman" w:hAnsi="Times New Roman"/>
          <w:sz w:val="18"/>
          <w:szCs w:val="18"/>
          <w:lang w:val="uk-UA" w:eastAsia="ru-RU"/>
        </w:rPr>
        <w:t>участі</w:t>
      </w:r>
      <w:r w:rsidRPr="00CF0EA5">
        <w:rPr>
          <w:rFonts w:ascii="Times New Roman" w:eastAsia="Times New Roman" w:hAnsi="Times New Roman"/>
          <w:sz w:val="18"/>
          <w:szCs w:val="18"/>
          <w:lang w:val="uk-UA" w:eastAsia="ru-RU"/>
        </w:rPr>
        <w:t xml:space="preserve"> а АТО</w:t>
      </w:r>
      <w:r w:rsidRPr="00E344A8">
        <w:rPr>
          <w:rFonts w:ascii="Times New Roman" w:eastAsia="Times New Roman" w:hAnsi="Times New Roman"/>
          <w:sz w:val="18"/>
          <w:szCs w:val="18"/>
          <w:lang w:val="uk-UA" w:eastAsia="ru-RU"/>
        </w:rPr>
        <w:t xml:space="preserve"> </w:t>
      </w:r>
    </w:p>
    <w:p w:rsidR="00E344A8" w:rsidRPr="00E344A8" w:rsidRDefault="00E344A8" w:rsidP="00C869A3">
      <w:pPr>
        <w:pStyle w:val="a4"/>
        <w:numPr>
          <w:ilvl w:val="0"/>
          <w:numId w:val="10"/>
        </w:numPr>
        <w:spacing w:after="0" w:line="240" w:lineRule="auto"/>
        <w:rPr>
          <w:rFonts w:ascii="Times New Roman" w:hAnsi="Times New Roman"/>
          <w:lang w:val="uk-UA"/>
        </w:rPr>
      </w:pPr>
      <w:r w:rsidRPr="00CF0EA5">
        <w:rPr>
          <w:rFonts w:ascii="Times New Roman" w:eastAsia="Times New Roman" w:hAnsi="Times New Roman"/>
          <w:sz w:val="18"/>
          <w:szCs w:val="18"/>
          <w:lang w:val="uk-UA" w:eastAsia="ru-RU"/>
        </w:rPr>
        <w:t>Реалізація соціального захисту та соціального забезпечення ветеранів та інвалідів шляхом надання фінансової підтримки громадським організаціям</w:t>
      </w:r>
    </w:p>
    <w:p w:rsidR="00E344A8" w:rsidRPr="00E344A8" w:rsidRDefault="00E344A8" w:rsidP="00C869A3">
      <w:pPr>
        <w:pStyle w:val="a4"/>
        <w:numPr>
          <w:ilvl w:val="0"/>
          <w:numId w:val="10"/>
        </w:numPr>
        <w:spacing w:after="0" w:line="240" w:lineRule="auto"/>
        <w:rPr>
          <w:rFonts w:ascii="Times New Roman" w:hAnsi="Times New Roman"/>
          <w:lang w:val="uk-UA"/>
        </w:rPr>
      </w:pPr>
      <w:r w:rsidRPr="00CF0EA5">
        <w:rPr>
          <w:rFonts w:ascii="Times New Roman" w:eastAsia="Times New Roman" w:hAnsi="Times New Roman"/>
          <w:sz w:val="20"/>
          <w:szCs w:val="20"/>
          <w:lang w:val="uk-UA" w:eastAsia="ru-RU"/>
        </w:rPr>
        <w:t xml:space="preserve">надання одноразової матеріальної допомоги військовослужбовцям, які приймали участь в антитерористичній операції на Сході України  </w:t>
      </w:r>
    </w:p>
    <w:p w:rsidR="00E344A8" w:rsidRPr="00E344A8" w:rsidRDefault="00E344A8" w:rsidP="00C869A3">
      <w:pPr>
        <w:pStyle w:val="a4"/>
        <w:numPr>
          <w:ilvl w:val="0"/>
          <w:numId w:val="10"/>
        </w:numPr>
        <w:spacing w:after="0" w:line="240" w:lineRule="auto"/>
        <w:rPr>
          <w:rFonts w:ascii="Times New Roman" w:hAnsi="Times New Roman"/>
          <w:lang w:val="uk-UA"/>
        </w:rPr>
      </w:pPr>
      <w:r w:rsidRPr="00CF0EA5">
        <w:rPr>
          <w:rFonts w:ascii="Times New Roman" w:eastAsia="Times New Roman" w:hAnsi="Times New Roman"/>
          <w:sz w:val="20"/>
          <w:szCs w:val="20"/>
          <w:lang w:val="uk-UA" w:eastAsia="ru-RU"/>
        </w:rPr>
        <w:t>на організацію відпочинку  на базах відпочинку , у санаторно-курортних закладах інвалідів, поранених , з числа мобілізованих учасників бойових дій, які брали участь в антитерористичній операції та членів їх сімей</w:t>
      </w:r>
    </w:p>
    <w:p w:rsidR="00E344A8" w:rsidRPr="00E344A8" w:rsidRDefault="00E344A8" w:rsidP="00C869A3">
      <w:pPr>
        <w:pStyle w:val="a4"/>
        <w:numPr>
          <w:ilvl w:val="0"/>
          <w:numId w:val="10"/>
        </w:numPr>
        <w:spacing w:after="0" w:line="240" w:lineRule="auto"/>
        <w:rPr>
          <w:rFonts w:ascii="Times New Roman" w:hAnsi="Times New Roman"/>
          <w:lang w:val="uk-UA"/>
        </w:rPr>
      </w:pPr>
      <w:r w:rsidRPr="00CF0EA5">
        <w:rPr>
          <w:rFonts w:ascii="Times New Roman" w:eastAsia="Times New Roman" w:hAnsi="Times New Roman"/>
          <w:sz w:val="20"/>
          <w:szCs w:val="20"/>
          <w:lang w:val="uk-UA" w:eastAsia="ru-RU"/>
        </w:rPr>
        <w:t xml:space="preserve">на поховання військовослужбовців, які загинули або померли внаслідок поранення , контузії чи каліцтва, одержаних при виконанні службових обов’язків на тимчасово окупованій території Автономної Республіки Крим, м. Севастополя та під час </w:t>
      </w:r>
      <w:r w:rsidR="00A7228F" w:rsidRPr="00CF0EA5">
        <w:rPr>
          <w:rFonts w:ascii="Times New Roman" w:eastAsia="Times New Roman" w:hAnsi="Times New Roman"/>
          <w:sz w:val="20"/>
          <w:szCs w:val="20"/>
          <w:lang w:val="uk-UA" w:eastAsia="ru-RU"/>
        </w:rPr>
        <w:t>участі</w:t>
      </w:r>
      <w:r w:rsidRPr="00CF0EA5">
        <w:rPr>
          <w:rFonts w:ascii="Times New Roman" w:eastAsia="Times New Roman" w:hAnsi="Times New Roman"/>
          <w:sz w:val="20"/>
          <w:szCs w:val="20"/>
          <w:lang w:val="uk-UA" w:eastAsia="ru-RU"/>
        </w:rPr>
        <w:t xml:space="preserve"> а АТО</w:t>
      </w:r>
    </w:p>
    <w:p w:rsidR="00E344A8" w:rsidRDefault="00E344A8" w:rsidP="0087443B">
      <w:pPr>
        <w:spacing w:after="0" w:line="240" w:lineRule="auto"/>
        <w:rPr>
          <w:rFonts w:ascii="Times New Roman" w:hAnsi="Times New Roman"/>
          <w:lang w:val="uk-UA"/>
        </w:rPr>
      </w:pPr>
    </w:p>
    <w:p w:rsidR="0057245E" w:rsidRPr="00C869A3" w:rsidRDefault="0057245E" w:rsidP="00552B1A">
      <w:pPr>
        <w:spacing w:after="0" w:line="240" w:lineRule="auto"/>
        <w:ind w:firstLine="567"/>
        <w:jc w:val="both"/>
        <w:rPr>
          <w:rFonts w:ascii="Times New Roman" w:hAnsi="Times New Roman"/>
          <w:lang w:val="uk-UA"/>
        </w:rPr>
      </w:pPr>
      <w:r w:rsidRPr="00C869A3">
        <w:rPr>
          <w:rFonts w:ascii="Times New Roman" w:hAnsi="Times New Roman"/>
          <w:lang w:val="uk-UA"/>
        </w:rPr>
        <w:t xml:space="preserve">Підставою для виконання паспорту вказаний наказ Міністерства соціальної політики  України від 27.09.2010 №1097 /290 "Про затвердження Типового переліку бюджетних програм </w:t>
      </w:r>
      <w:r w:rsidRPr="00C869A3">
        <w:rPr>
          <w:rFonts w:ascii="Times New Roman" w:hAnsi="Times New Roman"/>
          <w:lang w:val="uk-UA"/>
        </w:rPr>
        <w:lastRenderedPageBreak/>
        <w:t>та результативних показників їх виконання для місцевих бюджетів у галузі "Соціальний захист та соціальне забезпечення", який втратив чинність 23.01.2017.</w:t>
      </w:r>
    </w:p>
    <w:p w:rsidR="0057245E" w:rsidRPr="00C869A3" w:rsidRDefault="0057245E" w:rsidP="00552B1A">
      <w:pPr>
        <w:spacing w:after="0" w:line="240" w:lineRule="auto"/>
        <w:ind w:firstLine="567"/>
        <w:jc w:val="both"/>
        <w:rPr>
          <w:rFonts w:ascii="Times New Roman" w:hAnsi="Times New Roman"/>
          <w:lang w:val="uk-UA"/>
        </w:rPr>
      </w:pPr>
      <w:r w:rsidRPr="00C869A3">
        <w:rPr>
          <w:rFonts w:ascii="Times New Roman" w:hAnsi="Times New Roman"/>
          <w:lang w:val="uk-UA"/>
        </w:rPr>
        <w:t>Однак і «старому» наказі і в новому</w:t>
      </w:r>
      <w:r w:rsidR="00E344A8" w:rsidRPr="00C869A3">
        <w:rPr>
          <w:rFonts w:ascii="Times New Roman" w:hAnsi="Times New Roman"/>
          <w:lang w:val="uk-UA"/>
        </w:rPr>
        <w:t xml:space="preserve"> Наказ № 659 від 19.04.2017</w:t>
      </w:r>
      <w:r w:rsidR="00C869A3" w:rsidRPr="00C869A3">
        <w:rPr>
          <w:rFonts w:ascii="Times New Roman" w:hAnsi="Times New Roman"/>
          <w:lang w:val="uk-UA"/>
        </w:rPr>
        <w:t xml:space="preserve"> </w:t>
      </w:r>
      <w:r w:rsidR="00C869A3" w:rsidRPr="00C869A3">
        <w:rPr>
          <w:rFonts w:ascii="Times New Roman" w:hAnsi="Times New Roman"/>
          <w:bCs/>
          <w:color w:val="000000"/>
          <w:shd w:val="clear" w:color="auto" w:fill="FFFFFF"/>
          <w:lang w:val="uk-UA"/>
        </w:rPr>
        <w:t xml:space="preserve">Про затвердження Типового переліку бюджетних програм і результативних показників їх виконання для місцевих бюджетів у галузі </w:t>
      </w:r>
      <w:r w:rsidR="00C869A3">
        <w:rPr>
          <w:rFonts w:ascii="Times New Roman" w:hAnsi="Times New Roman"/>
          <w:bCs/>
          <w:color w:val="000000"/>
          <w:shd w:val="clear" w:color="auto" w:fill="FFFFFF"/>
          <w:lang w:val="uk-UA"/>
        </w:rPr>
        <w:t>«С</w:t>
      </w:r>
      <w:r w:rsidR="00C869A3" w:rsidRPr="00C869A3">
        <w:rPr>
          <w:rFonts w:ascii="Times New Roman" w:hAnsi="Times New Roman"/>
          <w:bCs/>
          <w:color w:val="000000"/>
          <w:shd w:val="clear" w:color="auto" w:fill="FFFFFF"/>
          <w:lang w:val="uk-UA"/>
        </w:rPr>
        <w:t>оціальний захист та соціальне забезпечення ”</w:t>
      </w:r>
      <w:r w:rsidRPr="00C869A3">
        <w:rPr>
          <w:rFonts w:ascii="Times New Roman" w:hAnsi="Times New Roman"/>
          <w:lang w:val="uk-UA"/>
        </w:rPr>
        <w:t xml:space="preserve"> в переліку завдань не має завдань 1, 3-5. </w:t>
      </w:r>
      <w:r w:rsidR="00C869A3" w:rsidRPr="00C869A3">
        <w:rPr>
          <w:rFonts w:ascii="Times New Roman" w:hAnsi="Times New Roman"/>
          <w:lang w:val="uk-UA"/>
        </w:rPr>
        <w:t>Д</w:t>
      </w:r>
      <w:r w:rsidRPr="00C869A3">
        <w:rPr>
          <w:rFonts w:ascii="Times New Roman" w:hAnsi="Times New Roman"/>
          <w:lang w:val="uk-UA"/>
        </w:rPr>
        <w:t xml:space="preserve">аний тип завдань характерний для </w:t>
      </w:r>
      <w:r w:rsidR="00C869A3" w:rsidRPr="00C869A3">
        <w:rPr>
          <w:rFonts w:ascii="Times New Roman" w:hAnsi="Times New Roman"/>
          <w:lang w:val="uk-UA"/>
        </w:rPr>
        <w:t>Н</w:t>
      </w:r>
      <w:r w:rsidRPr="00C869A3">
        <w:rPr>
          <w:rFonts w:ascii="Times New Roman" w:hAnsi="Times New Roman"/>
          <w:lang w:val="uk-UA"/>
        </w:rPr>
        <w:t>аказу</w:t>
      </w:r>
      <w:r w:rsidR="00C869A3" w:rsidRPr="00C869A3">
        <w:rPr>
          <w:rFonts w:ascii="Times New Roman" w:hAnsi="Times New Roman"/>
          <w:lang w:val="uk-UA"/>
        </w:rPr>
        <w:t xml:space="preserve"> 945</w:t>
      </w:r>
      <w:r w:rsidRPr="00C869A3">
        <w:rPr>
          <w:rFonts w:ascii="Times New Roman" w:hAnsi="Times New Roman"/>
          <w:lang w:val="uk-UA"/>
        </w:rPr>
        <w:t xml:space="preserve">, тому варто було б розділити </w:t>
      </w:r>
      <w:r w:rsidR="00C869A3">
        <w:rPr>
          <w:rFonts w:ascii="Times New Roman" w:hAnsi="Times New Roman"/>
          <w:lang w:val="uk-UA"/>
        </w:rPr>
        <w:t xml:space="preserve">бюджетні програми та </w:t>
      </w:r>
      <w:r w:rsidRPr="00C869A3">
        <w:rPr>
          <w:rFonts w:ascii="Times New Roman" w:hAnsi="Times New Roman"/>
          <w:lang w:val="uk-UA"/>
        </w:rPr>
        <w:t>паспорти</w:t>
      </w:r>
      <w:r w:rsidR="00C869A3">
        <w:rPr>
          <w:rFonts w:ascii="Times New Roman" w:hAnsi="Times New Roman"/>
          <w:lang w:val="uk-UA"/>
        </w:rPr>
        <w:t xml:space="preserve">, </w:t>
      </w:r>
      <w:r w:rsidRPr="00C869A3">
        <w:rPr>
          <w:rFonts w:ascii="Times New Roman" w:hAnsi="Times New Roman"/>
          <w:lang w:val="uk-UA"/>
        </w:rPr>
        <w:t xml:space="preserve">відокремити завдання </w:t>
      </w:r>
    </w:p>
    <w:p w:rsidR="0057245E" w:rsidRPr="00C869A3" w:rsidRDefault="0057245E" w:rsidP="00552B1A">
      <w:pPr>
        <w:spacing w:after="0" w:line="240" w:lineRule="auto"/>
        <w:ind w:firstLine="567"/>
        <w:jc w:val="both"/>
        <w:rPr>
          <w:rFonts w:ascii="Times New Roman" w:eastAsia="Times New Roman" w:hAnsi="Times New Roman"/>
          <w:lang w:val="uk-UA" w:eastAsia="ru-RU"/>
        </w:rPr>
      </w:pPr>
      <w:r w:rsidRPr="00C869A3">
        <w:rPr>
          <w:rFonts w:ascii="Times New Roman" w:hAnsi="Times New Roman"/>
          <w:lang w:val="uk-UA"/>
        </w:rPr>
        <w:t xml:space="preserve">Завдання </w:t>
      </w:r>
      <w:r w:rsidR="00C869A3">
        <w:rPr>
          <w:rFonts w:ascii="Times New Roman" w:hAnsi="Times New Roman"/>
          <w:lang w:val="uk-UA"/>
        </w:rPr>
        <w:t>«</w:t>
      </w:r>
      <w:r w:rsidRPr="00C869A3">
        <w:rPr>
          <w:rFonts w:ascii="Times New Roman" w:eastAsia="Times New Roman" w:hAnsi="Times New Roman"/>
          <w:lang w:val="uk-UA" w:eastAsia="ru-RU"/>
        </w:rPr>
        <w:t>Реалізація соціального захисту та соціального забезпечення ветеранів та інвалідів шляхом надання фінансової підтримки громадським організаціям</w:t>
      </w:r>
      <w:r w:rsidR="00C869A3">
        <w:rPr>
          <w:rFonts w:ascii="Times New Roman" w:eastAsia="Times New Roman" w:hAnsi="Times New Roman"/>
          <w:lang w:val="uk-UA" w:eastAsia="ru-RU"/>
        </w:rPr>
        <w:t>» виписана саме в Н</w:t>
      </w:r>
      <w:r w:rsidRPr="00C869A3">
        <w:rPr>
          <w:rFonts w:ascii="Times New Roman" w:eastAsia="Times New Roman" w:hAnsi="Times New Roman"/>
          <w:lang w:val="uk-UA" w:eastAsia="ru-RU"/>
        </w:rPr>
        <w:t xml:space="preserve">аказі 945. </w:t>
      </w:r>
    </w:p>
    <w:p w:rsidR="00C869A3" w:rsidRDefault="00C869A3" w:rsidP="007A2C9C">
      <w:pPr>
        <w:spacing w:after="0" w:line="240" w:lineRule="auto"/>
        <w:ind w:firstLine="567"/>
        <w:jc w:val="both"/>
        <w:rPr>
          <w:rFonts w:ascii="Times New Roman" w:hAnsi="Times New Roman"/>
          <w:lang w:val="uk-UA"/>
        </w:rPr>
      </w:pPr>
      <w:r>
        <w:rPr>
          <w:rFonts w:ascii="Times New Roman" w:hAnsi="Times New Roman"/>
          <w:lang w:val="uk-UA"/>
        </w:rPr>
        <w:t>Пакет результативних показників приведений повністю і дозволяє всебічно оцінити результати реалізації програми.</w:t>
      </w:r>
    </w:p>
    <w:p w:rsidR="00C869A3" w:rsidRDefault="00C869A3" w:rsidP="00552B1A">
      <w:pPr>
        <w:spacing w:after="0" w:line="240" w:lineRule="auto"/>
        <w:ind w:firstLine="567"/>
        <w:rPr>
          <w:rFonts w:ascii="Times New Roman" w:hAnsi="Times New Roman"/>
          <w:lang w:val="uk-UA"/>
        </w:rPr>
      </w:pPr>
    </w:p>
    <w:p w:rsidR="00C869A3" w:rsidRPr="00C869A3" w:rsidRDefault="00C869A3" w:rsidP="0087443B">
      <w:pPr>
        <w:spacing w:after="0" w:line="240" w:lineRule="auto"/>
        <w:rPr>
          <w:rFonts w:ascii="Times New Roman" w:hAnsi="Times New Roman"/>
          <w:lang w:val="uk-UA"/>
        </w:rPr>
      </w:pPr>
    </w:p>
    <w:p w:rsidR="0057245E" w:rsidRPr="00EE2253" w:rsidRDefault="00EE2253" w:rsidP="00EE2253">
      <w:pPr>
        <w:spacing w:after="0" w:line="240" w:lineRule="auto"/>
        <w:jc w:val="center"/>
        <w:rPr>
          <w:rFonts w:ascii="Times New Roman" w:eastAsia="Times New Roman" w:hAnsi="Times New Roman"/>
          <w:b/>
          <w:color w:val="000000"/>
          <w:lang w:val="uk-UA" w:eastAsia="ru-RU"/>
        </w:rPr>
      </w:pPr>
      <w:r>
        <w:rPr>
          <w:rFonts w:ascii="Times New Roman" w:hAnsi="Times New Roman"/>
          <w:b/>
          <w:lang w:val="uk-UA"/>
        </w:rPr>
        <w:t>8</w:t>
      </w:r>
      <w:r w:rsidR="00BD0AF0" w:rsidRPr="00EE2253">
        <w:rPr>
          <w:rFonts w:ascii="Times New Roman" w:hAnsi="Times New Roman"/>
          <w:b/>
          <w:lang w:val="uk-UA"/>
        </w:rPr>
        <w:t xml:space="preserve">. </w:t>
      </w:r>
      <w:r w:rsidRPr="00EE2253">
        <w:rPr>
          <w:rFonts w:ascii="Times New Roman" w:hAnsi="Times New Roman"/>
          <w:b/>
          <w:lang w:val="uk-UA"/>
        </w:rPr>
        <w:t xml:space="preserve"> ПБП </w:t>
      </w:r>
      <w:r w:rsidRPr="00EE2253">
        <w:rPr>
          <w:rFonts w:ascii="Times New Roman" w:eastAsia="Times New Roman" w:hAnsi="Times New Roman"/>
          <w:b/>
          <w:color w:val="000000"/>
          <w:lang w:val="uk-UA" w:eastAsia="ru-RU"/>
        </w:rPr>
        <w:t>Реалізація заходів щодо інвестиційного розвитку території – 0 балів</w:t>
      </w:r>
    </w:p>
    <w:p w:rsidR="00EE2253" w:rsidRPr="00EE2253" w:rsidRDefault="00EE2253" w:rsidP="00EE2253">
      <w:pPr>
        <w:spacing w:after="0" w:line="240" w:lineRule="auto"/>
        <w:jc w:val="center"/>
        <w:rPr>
          <w:rFonts w:ascii="Times New Roman" w:hAnsi="Times New Roman"/>
          <w:b/>
          <w:lang w:val="uk-UA"/>
        </w:rPr>
      </w:pPr>
      <w:r w:rsidRPr="00EE2253">
        <w:rPr>
          <w:rFonts w:ascii="Times New Roman" w:hAnsi="Times New Roman"/>
          <w:b/>
          <w:lang w:val="uk-UA"/>
        </w:rPr>
        <w:t xml:space="preserve">ГБРК - </w:t>
      </w:r>
      <w:r w:rsidRPr="00EE2253">
        <w:rPr>
          <w:rFonts w:ascii="Times New Roman" w:eastAsia="Times New Roman" w:hAnsi="Times New Roman"/>
          <w:b/>
          <w:color w:val="000000"/>
          <w:lang w:val="uk-UA" w:eastAsia="ru-RU"/>
        </w:rPr>
        <w:t>Відділ освіти, молоді та спорту виконавчого комітету Баштанської міської ради</w:t>
      </w:r>
    </w:p>
    <w:p w:rsidR="00EE2253" w:rsidRDefault="00EE2253" w:rsidP="0087443B">
      <w:pPr>
        <w:spacing w:after="0" w:line="240" w:lineRule="auto"/>
        <w:rPr>
          <w:rFonts w:ascii="Times New Roman" w:hAnsi="Times New Roman"/>
          <w:lang w:val="uk-UA"/>
        </w:rPr>
      </w:pPr>
    </w:p>
    <w:p w:rsidR="00EE2253" w:rsidRDefault="00EE2253" w:rsidP="0087443B">
      <w:pPr>
        <w:spacing w:after="0" w:line="240" w:lineRule="auto"/>
        <w:rPr>
          <w:rFonts w:ascii="Times New Roman" w:hAnsi="Times New Roman"/>
          <w:lang w:val="uk-UA"/>
        </w:rPr>
      </w:pPr>
      <w:r>
        <w:rPr>
          <w:rFonts w:ascii="Times New Roman" w:hAnsi="Times New Roman"/>
          <w:lang w:val="uk-UA"/>
        </w:rPr>
        <w:t>В даному паспорті визначено лише 1 завдання</w:t>
      </w:r>
      <w:r w:rsidR="00F76A2C">
        <w:rPr>
          <w:rFonts w:ascii="Times New Roman" w:hAnsi="Times New Roman"/>
          <w:lang w:val="uk-UA"/>
        </w:rPr>
        <w:t>:</w:t>
      </w:r>
      <w:r>
        <w:rPr>
          <w:rFonts w:ascii="Times New Roman" w:hAnsi="Times New Roman"/>
          <w:lang w:val="uk-UA"/>
        </w:rPr>
        <w:t xml:space="preserve"> </w:t>
      </w:r>
    </w:p>
    <w:p w:rsidR="00BD0AF0" w:rsidRPr="00EE2253" w:rsidRDefault="00EE2253" w:rsidP="00EE2253">
      <w:pPr>
        <w:pStyle w:val="a4"/>
        <w:numPr>
          <w:ilvl w:val="0"/>
          <w:numId w:val="5"/>
        </w:numPr>
        <w:spacing w:after="0" w:line="240" w:lineRule="auto"/>
        <w:rPr>
          <w:rFonts w:ascii="Times New Roman" w:hAnsi="Times New Roman"/>
          <w:lang w:val="uk-UA"/>
        </w:rPr>
      </w:pPr>
      <w:r w:rsidRPr="00EE2253">
        <w:rPr>
          <w:rFonts w:ascii="Times New Roman" w:hAnsi="Times New Roman"/>
          <w:lang w:val="uk-UA"/>
        </w:rPr>
        <w:t xml:space="preserve">забезпечення виготовлення ПКД на реконструкцію ДНЗ"Сонечко" </w:t>
      </w:r>
      <w:proofErr w:type="spellStart"/>
      <w:r w:rsidRPr="00EE2253">
        <w:rPr>
          <w:rFonts w:ascii="Times New Roman" w:hAnsi="Times New Roman"/>
          <w:lang w:val="uk-UA"/>
        </w:rPr>
        <w:t>с.Новопавлівка</w:t>
      </w:r>
      <w:proofErr w:type="spellEnd"/>
    </w:p>
    <w:p w:rsidR="00EE2253" w:rsidRDefault="00EE2253" w:rsidP="00EE2253">
      <w:pPr>
        <w:spacing w:after="0" w:line="240" w:lineRule="auto"/>
        <w:rPr>
          <w:rFonts w:ascii="Times New Roman" w:hAnsi="Times New Roman"/>
          <w:lang w:val="uk-UA"/>
        </w:rPr>
      </w:pPr>
    </w:p>
    <w:p w:rsidR="00EE2253" w:rsidRPr="00EE2253" w:rsidRDefault="00EE2253" w:rsidP="00EE2253">
      <w:pPr>
        <w:spacing w:after="0" w:line="240" w:lineRule="auto"/>
        <w:rPr>
          <w:rFonts w:ascii="Times New Roman" w:hAnsi="Times New Roman"/>
          <w:i/>
          <w:lang w:val="uk-UA"/>
        </w:rPr>
      </w:pPr>
      <w:r>
        <w:rPr>
          <w:rFonts w:ascii="Times New Roman" w:hAnsi="Times New Roman"/>
          <w:lang w:val="uk-UA"/>
        </w:rPr>
        <w:t>В розділі «результативні показники</w:t>
      </w:r>
      <w:r w:rsidR="00F76A2C">
        <w:rPr>
          <w:rFonts w:ascii="Times New Roman" w:hAnsi="Times New Roman"/>
          <w:lang w:val="uk-UA"/>
        </w:rPr>
        <w:t>»</w:t>
      </w:r>
      <w:r>
        <w:rPr>
          <w:rFonts w:ascii="Times New Roman" w:hAnsi="Times New Roman"/>
          <w:lang w:val="uk-UA"/>
        </w:rPr>
        <w:t xml:space="preserve">  ПБП </w:t>
      </w:r>
      <w:r w:rsidRPr="00CF0EA5">
        <w:rPr>
          <w:rFonts w:ascii="Times New Roman" w:hAnsi="Times New Roman"/>
          <w:lang w:val="uk-UA"/>
        </w:rPr>
        <w:t xml:space="preserve">відсутні показники якості </w:t>
      </w:r>
      <w:r>
        <w:rPr>
          <w:rFonts w:ascii="Times New Roman" w:hAnsi="Times New Roman"/>
          <w:lang w:val="uk-UA"/>
        </w:rPr>
        <w:t>виконання завдання, як</w:t>
      </w:r>
      <w:r w:rsidR="00F76A2C">
        <w:rPr>
          <w:rFonts w:ascii="Times New Roman" w:hAnsi="Times New Roman"/>
          <w:lang w:val="uk-UA"/>
        </w:rPr>
        <w:t>і</w:t>
      </w:r>
      <w:r>
        <w:rPr>
          <w:rFonts w:ascii="Times New Roman" w:hAnsi="Times New Roman"/>
          <w:lang w:val="uk-UA"/>
        </w:rPr>
        <w:t xml:space="preserve"> по типовому наказу 945 визначені наступним чином: </w:t>
      </w:r>
      <w:r w:rsidRPr="00EE2253">
        <w:rPr>
          <w:rFonts w:ascii="Times New Roman" w:hAnsi="Times New Roman"/>
          <w:i/>
          <w:lang w:val="uk-UA"/>
        </w:rPr>
        <w:t>Дивись</w:t>
      </w:r>
      <w:r w:rsidR="00F76A2C">
        <w:rPr>
          <w:rFonts w:ascii="Times New Roman" w:hAnsi="Times New Roman"/>
          <w:i/>
          <w:lang w:val="uk-UA"/>
        </w:rPr>
        <w:t xml:space="preserve"> вище </w:t>
      </w:r>
      <w:r w:rsidRPr="00EE2253">
        <w:rPr>
          <w:rFonts w:ascii="Times New Roman" w:hAnsi="Times New Roman"/>
          <w:i/>
          <w:lang w:val="uk-UA"/>
        </w:rPr>
        <w:t>коментар по ПБП «Будівництво»</w:t>
      </w:r>
    </w:p>
    <w:p w:rsidR="00EE2253" w:rsidRPr="00CF0EA5" w:rsidRDefault="00EE2253" w:rsidP="00EE2253">
      <w:pPr>
        <w:spacing w:after="0" w:line="240" w:lineRule="auto"/>
        <w:rPr>
          <w:rFonts w:ascii="Times New Roman" w:hAnsi="Times New Roman"/>
          <w:lang w:val="uk-UA"/>
        </w:rPr>
      </w:pPr>
    </w:p>
    <w:p w:rsidR="009908E4" w:rsidRPr="00CF0EA5" w:rsidRDefault="009908E4" w:rsidP="0087443B">
      <w:pPr>
        <w:spacing w:after="0" w:line="240" w:lineRule="auto"/>
        <w:rPr>
          <w:rFonts w:ascii="Times New Roman" w:hAnsi="Times New Roman"/>
          <w:lang w:val="uk-UA"/>
        </w:rPr>
      </w:pPr>
    </w:p>
    <w:p w:rsidR="009908E4" w:rsidRPr="00EE2253" w:rsidRDefault="00383D85" w:rsidP="00383D85">
      <w:pPr>
        <w:spacing w:after="0" w:line="240" w:lineRule="auto"/>
        <w:jc w:val="center"/>
        <w:rPr>
          <w:rFonts w:ascii="Times New Roman" w:hAnsi="Times New Roman"/>
          <w:b/>
          <w:lang w:val="uk-UA"/>
        </w:rPr>
      </w:pPr>
      <w:r>
        <w:rPr>
          <w:rFonts w:ascii="Times New Roman" w:hAnsi="Times New Roman"/>
          <w:b/>
          <w:lang w:val="uk-UA"/>
        </w:rPr>
        <w:t>9</w:t>
      </w:r>
      <w:r w:rsidR="009908E4" w:rsidRPr="00EE2253">
        <w:rPr>
          <w:rFonts w:ascii="Times New Roman" w:hAnsi="Times New Roman"/>
          <w:b/>
          <w:lang w:val="uk-UA"/>
        </w:rPr>
        <w:t>.</w:t>
      </w:r>
      <w:r w:rsidR="00EE2253" w:rsidRPr="00EE2253">
        <w:rPr>
          <w:rFonts w:ascii="Times New Roman" w:eastAsia="Times New Roman" w:hAnsi="Times New Roman"/>
          <w:b/>
          <w:color w:val="000000"/>
          <w:sz w:val="22"/>
          <w:szCs w:val="22"/>
          <w:lang w:val="uk-UA" w:eastAsia="ru-RU"/>
        </w:rPr>
        <w:t xml:space="preserve"> ПБП «Цільові фонди, утворені Верховною Радою Автономної Республіки Крим, органами місцевого самоврядування і місцевими органами виконавчої влади»</w:t>
      </w:r>
      <w:r w:rsidR="00EE2253">
        <w:rPr>
          <w:rFonts w:ascii="Times New Roman" w:eastAsia="Times New Roman" w:hAnsi="Times New Roman"/>
          <w:b/>
          <w:color w:val="000000"/>
          <w:sz w:val="22"/>
          <w:szCs w:val="22"/>
          <w:lang w:val="uk-UA" w:eastAsia="ru-RU"/>
        </w:rPr>
        <w:t xml:space="preserve"> -0 балів</w:t>
      </w:r>
    </w:p>
    <w:p w:rsidR="00EE2253" w:rsidRDefault="00EE2253" w:rsidP="00383D85">
      <w:pPr>
        <w:pStyle w:val="a4"/>
        <w:spacing w:after="0" w:line="240" w:lineRule="auto"/>
        <w:ind w:left="1470"/>
        <w:jc w:val="center"/>
        <w:rPr>
          <w:rFonts w:ascii="Times New Roman" w:hAnsi="Times New Roman"/>
          <w:b/>
          <w:lang w:val="uk-UA"/>
        </w:rPr>
      </w:pPr>
      <w:r w:rsidRPr="00EE2253">
        <w:rPr>
          <w:rFonts w:ascii="Times New Roman" w:hAnsi="Times New Roman"/>
          <w:b/>
          <w:lang w:val="uk-UA"/>
        </w:rPr>
        <w:t>ГБРК - Баштанська міська рада</w:t>
      </w:r>
    </w:p>
    <w:p w:rsidR="00383D85" w:rsidRPr="00EE2253" w:rsidRDefault="00383D85" w:rsidP="00EE2253">
      <w:pPr>
        <w:pStyle w:val="a4"/>
        <w:spacing w:after="0" w:line="240" w:lineRule="auto"/>
        <w:ind w:left="1470"/>
        <w:jc w:val="center"/>
        <w:rPr>
          <w:rFonts w:ascii="Times New Roman" w:hAnsi="Times New Roman"/>
          <w:b/>
          <w:lang w:val="uk-UA"/>
        </w:rPr>
      </w:pPr>
    </w:p>
    <w:p w:rsidR="00EE2253" w:rsidRDefault="00383D85" w:rsidP="00EE2253">
      <w:pPr>
        <w:spacing w:after="0" w:line="240" w:lineRule="auto"/>
        <w:rPr>
          <w:rFonts w:ascii="Times New Roman" w:hAnsi="Times New Roman"/>
          <w:lang w:val="uk-UA"/>
        </w:rPr>
      </w:pPr>
      <w:r>
        <w:rPr>
          <w:rFonts w:ascii="Times New Roman" w:hAnsi="Times New Roman"/>
          <w:lang w:val="uk-UA"/>
        </w:rPr>
        <w:t xml:space="preserve">В даному </w:t>
      </w:r>
      <w:r w:rsidR="00EE2253">
        <w:rPr>
          <w:rFonts w:ascii="Times New Roman" w:hAnsi="Times New Roman"/>
          <w:lang w:val="uk-UA"/>
        </w:rPr>
        <w:t xml:space="preserve"> </w:t>
      </w:r>
      <w:r>
        <w:rPr>
          <w:rFonts w:ascii="Times New Roman" w:hAnsi="Times New Roman"/>
          <w:lang w:val="uk-UA"/>
        </w:rPr>
        <w:t>паспорту</w:t>
      </w:r>
      <w:r w:rsidR="00EE2253">
        <w:rPr>
          <w:rFonts w:ascii="Times New Roman" w:hAnsi="Times New Roman"/>
          <w:lang w:val="uk-UA"/>
        </w:rPr>
        <w:t xml:space="preserve"> визначено лише 1 завдання:  </w:t>
      </w:r>
    </w:p>
    <w:p w:rsidR="009908E4" w:rsidRPr="00EE2253" w:rsidRDefault="00EE2253" w:rsidP="00EE2253">
      <w:pPr>
        <w:pStyle w:val="a4"/>
        <w:numPr>
          <w:ilvl w:val="0"/>
          <w:numId w:val="11"/>
        </w:numPr>
        <w:spacing w:after="0" w:line="240" w:lineRule="auto"/>
        <w:rPr>
          <w:rFonts w:ascii="Times New Roman" w:hAnsi="Times New Roman"/>
          <w:lang w:val="uk-UA"/>
        </w:rPr>
      </w:pPr>
      <w:r>
        <w:rPr>
          <w:rFonts w:ascii="Times New Roman" w:hAnsi="Times New Roman"/>
          <w:lang w:val="uk-UA"/>
        </w:rPr>
        <w:t>п</w:t>
      </w:r>
      <w:r w:rsidRPr="00EE2253">
        <w:rPr>
          <w:rFonts w:ascii="Times New Roman" w:hAnsi="Times New Roman"/>
          <w:lang w:val="uk-UA"/>
        </w:rPr>
        <w:t>роведення заходів з облаштування об’єктів благоустрою, згідно Положення про цільовий фонд</w:t>
      </w:r>
    </w:p>
    <w:p w:rsidR="009908E4" w:rsidRPr="00CF0EA5" w:rsidRDefault="00EE2253" w:rsidP="0087443B">
      <w:pPr>
        <w:spacing w:after="0" w:line="240" w:lineRule="auto"/>
        <w:rPr>
          <w:rFonts w:ascii="Times New Roman" w:hAnsi="Times New Roman"/>
          <w:lang w:val="uk-UA"/>
        </w:rPr>
      </w:pPr>
      <w:r>
        <w:rPr>
          <w:rFonts w:ascii="Times New Roman" w:hAnsi="Times New Roman"/>
          <w:lang w:val="uk-UA"/>
        </w:rPr>
        <w:t>Профільний наказ не містить типовий перелік завдань та пакет результативних показників по відповідній бюджетній програмі , однак той самий наказ</w:t>
      </w:r>
      <w:r w:rsidR="009908E4" w:rsidRPr="00CF0EA5">
        <w:rPr>
          <w:rFonts w:ascii="Times New Roman" w:hAnsi="Times New Roman"/>
          <w:lang w:val="uk-UA"/>
        </w:rPr>
        <w:t xml:space="preserve"> 945</w:t>
      </w:r>
      <w:r>
        <w:rPr>
          <w:rFonts w:ascii="Times New Roman" w:hAnsi="Times New Roman"/>
          <w:lang w:val="uk-UA"/>
        </w:rPr>
        <w:t xml:space="preserve"> містить норму :</w:t>
      </w:r>
    </w:p>
    <w:p w:rsidR="009908E4" w:rsidRPr="00EE2253" w:rsidRDefault="009908E4" w:rsidP="0087443B">
      <w:pPr>
        <w:pStyle w:val="a3"/>
        <w:spacing w:before="0" w:beforeAutospacing="0" w:after="0" w:afterAutospacing="0"/>
        <w:jc w:val="both"/>
        <w:rPr>
          <w:i/>
          <w:lang w:val="uk-UA"/>
        </w:rPr>
      </w:pPr>
      <w:r w:rsidRPr="00EE2253">
        <w:rPr>
          <w:i/>
          <w:lang w:val="uk-UA"/>
        </w:rPr>
        <w:t>За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9908E4" w:rsidRPr="00EE2253" w:rsidRDefault="009908E4" w:rsidP="0087443B">
      <w:pPr>
        <w:pStyle w:val="a3"/>
        <w:spacing w:before="0" w:beforeAutospacing="0" w:after="0" w:afterAutospacing="0"/>
        <w:jc w:val="both"/>
        <w:rPr>
          <w:i/>
          <w:lang w:val="uk-UA"/>
        </w:rPr>
      </w:pPr>
      <w:r w:rsidRPr="00EE2253">
        <w:rPr>
          <w:i/>
          <w:lang w:val="uk-UA"/>
        </w:rPr>
        <w:t>- назву бюджетної програми (підпрограми);</w:t>
      </w:r>
    </w:p>
    <w:p w:rsidR="009908E4" w:rsidRPr="00EE2253" w:rsidRDefault="009908E4" w:rsidP="0087443B">
      <w:pPr>
        <w:pStyle w:val="a3"/>
        <w:spacing w:before="0" w:beforeAutospacing="0" w:after="0" w:afterAutospacing="0"/>
        <w:jc w:val="both"/>
        <w:rPr>
          <w:i/>
          <w:lang w:val="uk-UA"/>
        </w:rPr>
      </w:pPr>
      <w:r w:rsidRPr="00EE2253">
        <w:rPr>
          <w:i/>
          <w:lang w:val="uk-UA"/>
        </w:rPr>
        <w:t>- мету бюджетної програми;</w:t>
      </w:r>
    </w:p>
    <w:p w:rsidR="009908E4" w:rsidRPr="00EE2253" w:rsidRDefault="009908E4" w:rsidP="0087443B">
      <w:pPr>
        <w:pStyle w:val="a3"/>
        <w:spacing w:before="0" w:beforeAutospacing="0" w:after="0" w:afterAutospacing="0"/>
        <w:jc w:val="both"/>
        <w:rPr>
          <w:i/>
          <w:lang w:val="uk-UA"/>
        </w:rPr>
      </w:pPr>
      <w:r w:rsidRPr="00EE2253">
        <w:rPr>
          <w:i/>
          <w:lang w:val="uk-UA"/>
        </w:rPr>
        <w:t>- завдання (одне або декілька) бюджетної програми (підпрограми);</w:t>
      </w:r>
    </w:p>
    <w:p w:rsidR="009908E4" w:rsidRPr="00EE2253" w:rsidRDefault="009908E4" w:rsidP="0087443B">
      <w:pPr>
        <w:pStyle w:val="a3"/>
        <w:spacing w:before="0" w:beforeAutospacing="0" w:after="0" w:afterAutospacing="0"/>
        <w:jc w:val="both"/>
        <w:rPr>
          <w:i/>
          <w:lang w:val="uk-UA"/>
        </w:rPr>
      </w:pPr>
      <w:r w:rsidRPr="00EE2253">
        <w:rPr>
          <w:i/>
          <w:lang w:val="uk-UA"/>
        </w:rPr>
        <w:t>- результативні показники виконання бюджетної програми/підпрограми (затрат, продукту, ефективності, якості).</w:t>
      </w:r>
    </w:p>
    <w:p w:rsidR="009908E4" w:rsidRPr="00EE2253" w:rsidRDefault="009908E4" w:rsidP="0087443B">
      <w:pPr>
        <w:pStyle w:val="a3"/>
        <w:spacing w:before="0" w:beforeAutospacing="0" w:after="0" w:afterAutospacing="0"/>
        <w:jc w:val="both"/>
        <w:rPr>
          <w:i/>
          <w:lang w:val="uk-UA"/>
        </w:rPr>
      </w:pPr>
      <w:r w:rsidRPr="00EE2253">
        <w:rPr>
          <w:i/>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w:t>
      </w:r>
    </w:p>
    <w:p w:rsidR="009908E4" w:rsidRPr="00EE2253" w:rsidRDefault="009908E4" w:rsidP="0087443B">
      <w:pPr>
        <w:pStyle w:val="a3"/>
        <w:spacing w:before="0" w:beforeAutospacing="0" w:after="0" w:afterAutospacing="0"/>
        <w:jc w:val="both"/>
        <w:rPr>
          <w:i/>
          <w:lang w:val="uk-UA"/>
        </w:rPr>
      </w:pPr>
      <w:r w:rsidRPr="00EE2253">
        <w:rPr>
          <w:i/>
          <w:lang w:val="uk-UA"/>
        </w:rPr>
        <w:t>Водночас перелік завдань та результативних показників може бути уточнений і розширений.</w:t>
      </w:r>
    </w:p>
    <w:p w:rsidR="00EE2253" w:rsidRDefault="00EE2253" w:rsidP="0087443B">
      <w:pPr>
        <w:spacing w:after="0" w:line="240" w:lineRule="auto"/>
        <w:rPr>
          <w:rFonts w:ascii="Times New Roman" w:hAnsi="Times New Roman"/>
          <w:lang w:val="uk-UA"/>
        </w:rPr>
      </w:pPr>
    </w:p>
    <w:p w:rsidR="00EE2253" w:rsidRPr="00CF0EA5" w:rsidRDefault="009908E4" w:rsidP="00EE2253">
      <w:pPr>
        <w:spacing w:after="0" w:line="240" w:lineRule="auto"/>
        <w:jc w:val="both"/>
        <w:rPr>
          <w:rFonts w:ascii="Times New Roman" w:hAnsi="Times New Roman"/>
          <w:lang w:val="uk-UA"/>
        </w:rPr>
      </w:pPr>
      <w:r w:rsidRPr="00CF0EA5">
        <w:rPr>
          <w:rFonts w:ascii="Times New Roman" w:hAnsi="Times New Roman"/>
          <w:lang w:val="uk-UA"/>
        </w:rPr>
        <w:lastRenderedPageBreak/>
        <w:t>Показники даної БП не визначені</w:t>
      </w:r>
      <w:r w:rsidR="00EE2253">
        <w:rPr>
          <w:rFonts w:ascii="Times New Roman" w:hAnsi="Times New Roman"/>
          <w:lang w:val="uk-UA"/>
        </w:rPr>
        <w:t>. Відсутність в паспорті бюджетної програми показників ефективності та/або якості не дозволять всебічно оцінити результативність програми та провести аналіз ефективності використання бюджетних коштів по даній програмі.</w:t>
      </w:r>
    </w:p>
    <w:p w:rsidR="009908E4" w:rsidRPr="00CF0EA5" w:rsidRDefault="009908E4" w:rsidP="0087443B">
      <w:pPr>
        <w:spacing w:after="0" w:line="240" w:lineRule="auto"/>
        <w:rPr>
          <w:rFonts w:ascii="Times New Roman" w:hAnsi="Times New Roman"/>
          <w:lang w:val="uk-UA"/>
        </w:rPr>
      </w:pPr>
    </w:p>
    <w:p w:rsidR="00383D85" w:rsidRPr="00383D85" w:rsidRDefault="00383D85" w:rsidP="00383D85">
      <w:pPr>
        <w:spacing w:after="0" w:line="240" w:lineRule="auto"/>
        <w:jc w:val="center"/>
        <w:rPr>
          <w:rFonts w:ascii="Times New Roman" w:eastAsia="Times New Roman" w:hAnsi="Times New Roman"/>
          <w:b/>
          <w:color w:val="000000"/>
          <w:sz w:val="22"/>
          <w:szCs w:val="22"/>
          <w:lang w:val="uk-UA" w:eastAsia="ru-RU"/>
        </w:rPr>
      </w:pPr>
      <w:r>
        <w:rPr>
          <w:rFonts w:ascii="Times New Roman" w:hAnsi="Times New Roman"/>
          <w:b/>
          <w:lang w:val="uk-UA"/>
        </w:rPr>
        <w:t>10</w:t>
      </w:r>
      <w:r w:rsidRPr="00383D85">
        <w:rPr>
          <w:rFonts w:ascii="Times New Roman" w:hAnsi="Times New Roman"/>
          <w:b/>
          <w:lang w:val="uk-UA"/>
        </w:rPr>
        <w:t xml:space="preserve">. </w:t>
      </w:r>
      <w:r>
        <w:rPr>
          <w:rFonts w:ascii="Times New Roman" w:hAnsi="Times New Roman"/>
          <w:b/>
          <w:lang w:val="uk-UA"/>
        </w:rPr>
        <w:t xml:space="preserve">ПБП </w:t>
      </w:r>
      <w:r w:rsidRPr="00383D85">
        <w:rPr>
          <w:rFonts w:ascii="Times New Roman" w:hAnsi="Times New Roman"/>
          <w:b/>
          <w:lang w:val="uk-UA"/>
        </w:rPr>
        <w:t xml:space="preserve"> </w:t>
      </w:r>
      <w:r w:rsidRPr="00383D85">
        <w:rPr>
          <w:rFonts w:ascii="Times New Roman" w:eastAsia="Times New Roman" w:hAnsi="Times New Roman"/>
          <w:b/>
          <w:color w:val="000000"/>
          <w:sz w:val="22"/>
          <w:szCs w:val="22"/>
          <w:lang w:val="uk-UA" w:eastAsia="ru-RU"/>
        </w:rPr>
        <w:t>Інша діяльність у сфері охорони навколишнього  природного середовища</w:t>
      </w:r>
    </w:p>
    <w:p w:rsidR="00383D85" w:rsidRPr="00383D85" w:rsidRDefault="00383D85" w:rsidP="00383D85">
      <w:pPr>
        <w:pStyle w:val="a4"/>
        <w:spacing w:after="0" w:line="240" w:lineRule="auto"/>
        <w:ind w:left="0"/>
        <w:jc w:val="center"/>
        <w:rPr>
          <w:rFonts w:ascii="Times New Roman" w:hAnsi="Times New Roman"/>
          <w:b/>
          <w:lang w:val="uk-UA"/>
        </w:rPr>
      </w:pPr>
      <w:r w:rsidRPr="00383D85">
        <w:rPr>
          <w:rFonts w:ascii="Times New Roman" w:hAnsi="Times New Roman"/>
          <w:b/>
          <w:lang w:val="uk-UA"/>
        </w:rPr>
        <w:t>ГБРК - Баштанська міська рада</w:t>
      </w:r>
    </w:p>
    <w:p w:rsidR="00EE2253" w:rsidRDefault="00EE2253" w:rsidP="0087443B">
      <w:pPr>
        <w:spacing w:after="0" w:line="240" w:lineRule="auto"/>
        <w:rPr>
          <w:rFonts w:ascii="Times New Roman" w:hAnsi="Times New Roman"/>
          <w:lang w:val="uk-UA"/>
        </w:rPr>
      </w:pPr>
    </w:p>
    <w:p w:rsidR="00D0629A" w:rsidRDefault="00383D85" w:rsidP="00383D85">
      <w:pPr>
        <w:spacing w:after="0" w:line="240" w:lineRule="auto"/>
        <w:rPr>
          <w:rFonts w:ascii="Times New Roman" w:hAnsi="Times New Roman"/>
          <w:lang w:val="uk-UA"/>
        </w:rPr>
      </w:pPr>
      <w:r>
        <w:rPr>
          <w:rFonts w:ascii="Times New Roman" w:hAnsi="Times New Roman"/>
          <w:lang w:val="uk-UA"/>
        </w:rPr>
        <w:t xml:space="preserve">В даному  паспорту визначено завдання: </w:t>
      </w:r>
    </w:p>
    <w:p w:rsidR="00383D85" w:rsidRDefault="00D0629A" w:rsidP="00383D85">
      <w:pPr>
        <w:spacing w:after="0" w:line="240" w:lineRule="auto"/>
        <w:rPr>
          <w:rFonts w:ascii="Times New Roman" w:hAnsi="Times New Roman"/>
          <w:lang w:val="uk-UA"/>
        </w:rPr>
      </w:pPr>
      <w:r>
        <w:rPr>
          <w:rFonts w:ascii="Times New Roman" w:hAnsi="Times New Roman"/>
          <w:lang w:val="uk-UA"/>
        </w:rPr>
        <w:t>-</w:t>
      </w:r>
      <w:r w:rsidR="00383D85">
        <w:rPr>
          <w:rFonts w:ascii="Times New Roman" w:hAnsi="Times New Roman"/>
          <w:lang w:val="uk-UA"/>
        </w:rPr>
        <w:t xml:space="preserve"> </w:t>
      </w:r>
      <w:r w:rsidRPr="00D0629A">
        <w:rPr>
          <w:rFonts w:ascii="Times New Roman" w:hAnsi="Times New Roman"/>
          <w:lang w:val="uk-UA"/>
        </w:rPr>
        <w:t xml:space="preserve">заходи з озеленення міст і сіл, ліквідація стихійних </w:t>
      </w:r>
      <w:r>
        <w:rPr>
          <w:rFonts w:ascii="Times New Roman" w:hAnsi="Times New Roman"/>
          <w:lang w:val="uk-UA"/>
        </w:rPr>
        <w:t>сміттєзвалища</w:t>
      </w:r>
    </w:p>
    <w:p w:rsidR="00552B1A" w:rsidRDefault="00552B1A" w:rsidP="00383D85">
      <w:pPr>
        <w:spacing w:after="0" w:line="240" w:lineRule="auto"/>
        <w:rPr>
          <w:rFonts w:ascii="Times New Roman" w:hAnsi="Times New Roman"/>
          <w:lang w:val="uk-UA"/>
        </w:rPr>
      </w:pPr>
    </w:p>
    <w:p w:rsidR="00D0629A" w:rsidRDefault="00D0629A" w:rsidP="00383D85">
      <w:pPr>
        <w:spacing w:after="0" w:line="240" w:lineRule="auto"/>
        <w:rPr>
          <w:rFonts w:ascii="Times New Roman" w:hAnsi="Times New Roman"/>
          <w:lang w:val="uk-UA"/>
        </w:rPr>
      </w:pPr>
      <w:r>
        <w:rPr>
          <w:rFonts w:ascii="Times New Roman" w:hAnsi="Times New Roman"/>
          <w:lang w:val="uk-UA"/>
        </w:rPr>
        <w:t>Заходи з озеленення міст і селищ – є складовою завдання з типового переліку бюджетних програм Наказ 945:</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46"/>
        <w:gridCol w:w="2536"/>
        <w:gridCol w:w="5318"/>
      </w:tblGrid>
      <w:tr w:rsidR="00D0629A" w:rsidRPr="00D0629A" w:rsidTr="00552B1A">
        <w:trPr>
          <w:tblCellSpacing w:w="22" w:type="dxa"/>
        </w:trPr>
        <w:tc>
          <w:tcPr>
            <w:tcW w:w="1084"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b/>
                <w:bCs/>
                <w:sz w:val="20"/>
                <w:szCs w:val="20"/>
                <w:lang w:val="uk-UA"/>
              </w:rPr>
              <w:t>Програма</w:t>
            </w:r>
          </w:p>
        </w:tc>
        <w:tc>
          <w:tcPr>
            <w:tcW w:w="3850" w:type="pct"/>
            <w:gridSpan w:val="2"/>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b/>
                <w:bCs/>
                <w:sz w:val="20"/>
                <w:szCs w:val="20"/>
                <w:lang w:val="uk-UA"/>
              </w:rPr>
              <w:t>Благоустрій міст, сіл, селищ (</w:t>
            </w:r>
            <w:r w:rsidRPr="00D0629A">
              <w:rPr>
                <w:b/>
                <w:bCs/>
                <w:color w:val="0000FF"/>
                <w:sz w:val="20"/>
                <w:szCs w:val="20"/>
                <w:lang w:val="uk-UA"/>
              </w:rPr>
              <w:t>КТКВК 100203</w:t>
            </w:r>
            <w:r w:rsidRPr="00D0629A">
              <w:rPr>
                <w:b/>
                <w:bCs/>
                <w:sz w:val="20"/>
                <w:szCs w:val="20"/>
                <w:lang w:val="uk-UA"/>
              </w:rPr>
              <w:t>)</w:t>
            </w:r>
          </w:p>
        </w:tc>
      </w:tr>
      <w:tr w:rsidR="00D0629A" w:rsidRPr="00D0629A" w:rsidTr="00552B1A">
        <w:trPr>
          <w:tblCellSpacing w:w="22" w:type="dxa"/>
        </w:trPr>
        <w:tc>
          <w:tcPr>
            <w:tcW w:w="1084"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sz w:val="20"/>
                <w:szCs w:val="20"/>
                <w:lang w:val="uk-UA"/>
              </w:rPr>
              <w:t>Мета</w:t>
            </w:r>
          </w:p>
        </w:tc>
        <w:tc>
          <w:tcPr>
            <w:tcW w:w="3850" w:type="pct"/>
            <w:gridSpan w:val="2"/>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sz w:val="20"/>
                <w:szCs w:val="20"/>
                <w:lang w:val="uk-UA"/>
              </w:rPr>
              <w:t>Підвищення рівня благоустрою міста</w:t>
            </w:r>
          </w:p>
        </w:tc>
      </w:tr>
      <w:tr w:rsidR="00D0629A" w:rsidRPr="00D0629A" w:rsidTr="00552B1A">
        <w:trPr>
          <w:tblCellSpacing w:w="22" w:type="dxa"/>
        </w:trPr>
        <w:tc>
          <w:tcPr>
            <w:tcW w:w="1084" w:type="pct"/>
            <w:vMerge w:val="restar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sz w:val="20"/>
                <w:szCs w:val="20"/>
                <w:lang w:val="uk-UA"/>
              </w:rPr>
              <w:t> </w:t>
            </w:r>
          </w:p>
        </w:tc>
        <w:tc>
          <w:tcPr>
            <w:tcW w:w="1239"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jc w:val="center"/>
              <w:rPr>
                <w:sz w:val="20"/>
                <w:szCs w:val="20"/>
                <w:lang w:val="uk-UA"/>
              </w:rPr>
            </w:pPr>
            <w:r w:rsidRPr="00D0629A">
              <w:rPr>
                <w:b/>
                <w:bCs/>
                <w:sz w:val="20"/>
                <w:szCs w:val="20"/>
                <w:lang w:val="uk-UA"/>
              </w:rPr>
              <w:t>Завдання 7</w:t>
            </w:r>
          </w:p>
        </w:tc>
        <w:tc>
          <w:tcPr>
            <w:tcW w:w="2590"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jc w:val="center"/>
              <w:rPr>
                <w:sz w:val="20"/>
                <w:szCs w:val="20"/>
                <w:lang w:val="uk-UA"/>
              </w:rPr>
            </w:pPr>
            <w:r w:rsidRPr="00D0629A">
              <w:rPr>
                <w:b/>
                <w:bCs/>
                <w:sz w:val="20"/>
                <w:szCs w:val="20"/>
                <w:lang w:val="uk-UA"/>
              </w:rPr>
              <w:t>Результативні показники</w:t>
            </w:r>
          </w:p>
        </w:tc>
      </w:tr>
      <w:tr w:rsidR="00D0629A" w:rsidRPr="00553129" w:rsidTr="00552B1A">
        <w:trPr>
          <w:tblCellSpacing w:w="22" w:type="dxa"/>
        </w:trPr>
        <w:tc>
          <w:tcPr>
            <w:tcW w:w="1084" w:type="pct"/>
            <w:vMerge/>
            <w:tcBorders>
              <w:top w:val="outset" w:sz="6" w:space="0" w:color="auto"/>
              <w:left w:val="outset" w:sz="6" w:space="0" w:color="auto"/>
              <w:bottom w:val="outset" w:sz="6" w:space="0" w:color="auto"/>
              <w:right w:val="outset" w:sz="6" w:space="0" w:color="auto"/>
            </w:tcBorders>
            <w:vAlign w:val="center"/>
            <w:hideMark/>
          </w:tcPr>
          <w:p w:rsidR="00D0629A" w:rsidRPr="00D0629A" w:rsidRDefault="00D0629A" w:rsidP="00D0629A">
            <w:pPr>
              <w:rPr>
                <w:sz w:val="20"/>
                <w:szCs w:val="20"/>
                <w:lang w:val="uk-UA"/>
              </w:rPr>
            </w:pPr>
          </w:p>
        </w:tc>
        <w:tc>
          <w:tcPr>
            <w:tcW w:w="1239"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sz w:val="20"/>
                <w:szCs w:val="20"/>
                <w:lang w:val="uk-UA"/>
              </w:rPr>
              <w:t>Збереження та утримання на належному рівні зеленої зони населеного пункту та поліпшення його екологічних умов</w:t>
            </w:r>
          </w:p>
        </w:tc>
        <w:tc>
          <w:tcPr>
            <w:tcW w:w="2590" w:type="pct"/>
            <w:tcBorders>
              <w:top w:val="outset" w:sz="6" w:space="0" w:color="auto"/>
              <w:left w:val="outset" w:sz="6" w:space="0" w:color="auto"/>
              <w:bottom w:val="outset" w:sz="6" w:space="0" w:color="auto"/>
              <w:right w:val="outset" w:sz="6" w:space="0" w:color="auto"/>
            </w:tcBorders>
            <w:hideMark/>
          </w:tcPr>
          <w:p w:rsidR="00D0629A" w:rsidRPr="00D0629A" w:rsidRDefault="00D0629A" w:rsidP="00D0629A">
            <w:pPr>
              <w:pStyle w:val="a3"/>
              <w:rPr>
                <w:sz w:val="20"/>
                <w:szCs w:val="20"/>
                <w:lang w:val="uk-UA"/>
              </w:rPr>
            </w:pPr>
            <w:r w:rsidRPr="00D0629A">
              <w:rPr>
                <w:b/>
                <w:bCs/>
                <w:sz w:val="20"/>
                <w:szCs w:val="20"/>
                <w:lang w:val="uk-UA"/>
              </w:rPr>
              <w:t>Показники затрат:</w:t>
            </w:r>
            <w:r w:rsidRPr="00D0629A">
              <w:rPr>
                <w:sz w:val="20"/>
                <w:szCs w:val="20"/>
                <w:lang w:val="uk-UA"/>
              </w:rPr>
              <w:br/>
              <w:t>площа території об'єктів зеленого господарства, яка підлягає санітарному прибиранню (догляду), га.</w:t>
            </w:r>
            <w:r w:rsidRPr="00D0629A">
              <w:rPr>
                <w:sz w:val="20"/>
                <w:szCs w:val="20"/>
                <w:lang w:val="uk-UA"/>
              </w:rPr>
              <w:br/>
            </w:r>
            <w:r w:rsidRPr="00D0629A">
              <w:rPr>
                <w:b/>
                <w:bCs/>
                <w:sz w:val="20"/>
                <w:szCs w:val="20"/>
                <w:lang w:val="uk-UA"/>
              </w:rPr>
              <w:t>Показники продукту:</w:t>
            </w:r>
            <w:r w:rsidRPr="00D0629A">
              <w:rPr>
                <w:sz w:val="20"/>
                <w:szCs w:val="20"/>
                <w:lang w:val="uk-UA"/>
              </w:rPr>
              <w:br/>
              <w:t>територія об'єктів зеленого господарства, на якій планується санітарне прибирання (догляд), га;</w:t>
            </w:r>
            <w:r w:rsidRPr="00D0629A">
              <w:rPr>
                <w:sz w:val="20"/>
                <w:szCs w:val="20"/>
                <w:lang w:val="uk-UA"/>
              </w:rPr>
              <w:br/>
              <w:t>об'єм роботи, яку планується провести (в розрізі видів), од., га.</w:t>
            </w:r>
            <w:r w:rsidRPr="00D0629A">
              <w:rPr>
                <w:sz w:val="20"/>
                <w:szCs w:val="20"/>
                <w:lang w:val="uk-UA"/>
              </w:rPr>
              <w:br/>
            </w:r>
            <w:r w:rsidRPr="00D0629A">
              <w:rPr>
                <w:b/>
                <w:bCs/>
                <w:sz w:val="20"/>
                <w:szCs w:val="20"/>
                <w:lang w:val="uk-UA"/>
              </w:rPr>
              <w:t>Показники ефективності:</w:t>
            </w:r>
            <w:r w:rsidRPr="00D0629A">
              <w:rPr>
                <w:sz w:val="20"/>
                <w:szCs w:val="20"/>
                <w:lang w:val="uk-UA"/>
              </w:rPr>
              <w:br/>
              <w:t>середні витрати на санітарне прибирання (догляд) 1 га території об'єктів зеленого господарства, тис. грн.;</w:t>
            </w:r>
            <w:r w:rsidRPr="00D0629A">
              <w:rPr>
                <w:sz w:val="20"/>
                <w:szCs w:val="20"/>
                <w:lang w:val="uk-UA"/>
              </w:rPr>
              <w:br/>
              <w:t>середні витрати на висадку одного дерева, тис. грн.;</w:t>
            </w:r>
            <w:r w:rsidRPr="00D0629A">
              <w:rPr>
                <w:sz w:val="20"/>
                <w:szCs w:val="20"/>
                <w:lang w:val="uk-UA"/>
              </w:rPr>
              <w:br/>
              <w:t>середні витрати на видалення одного дерева, тис. грн.;</w:t>
            </w:r>
            <w:r w:rsidRPr="00D0629A">
              <w:rPr>
                <w:sz w:val="20"/>
                <w:szCs w:val="20"/>
                <w:lang w:val="uk-UA"/>
              </w:rPr>
              <w:br/>
              <w:t>середні витрати на утримання (відновлення) 1 га газону, тис. грн.;</w:t>
            </w:r>
            <w:r w:rsidRPr="00D0629A">
              <w:rPr>
                <w:sz w:val="20"/>
                <w:szCs w:val="20"/>
                <w:lang w:val="uk-UA"/>
              </w:rPr>
              <w:br/>
              <w:t>середні витрати на висадження 1 тис. од. квіткової розсади, тис. грн.</w:t>
            </w:r>
            <w:r w:rsidRPr="00D0629A">
              <w:rPr>
                <w:sz w:val="20"/>
                <w:szCs w:val="20"/>
                <w:lang w:val="uk-UA"/>
              </w:rPr>
              <w:br/>
            </w:r>
            <w:r w:rsidRPr="00D0629A">
              <w:rPr>
                <w:b/>
                <w:bCs/>
                <w:sz w:val="20"/>
                <w:szCs w:val="20"/>
                <w:lang w:val="uk-UA"/>
              </w:rPr>
              <w:t>Показники якості:</w:t>
            </w:r>
            <w:r w:rsidRPr="00D0629A">
              <w:rPr>
                <w:sz w:val="20"/>
                <w:szCs w:val="20"/>
                <w:lang w:val="uk-UA"/>
              </w:rPr>
              <w:br/>
              <w:t>питома вага відновлених зелених насаджень у загальній кількості зелених насаджень, що потребують оновлення, %;</w:t>
            </w:r>
            <w:r w:rsidRPr="00D0629A">
              <w:rPr>
                <w:sz w:val="20"/>
                <w:szCs w:val="20"/>
                <w:lang w:val="uk-UA"/>
              </w:rPr>
              <w:br/>
              <w:t>питома вага оновлених площ газонів у загальній кількості площ газонів, що потребують відновлення, %;</w:t>
            </w:r>
            <w:r w:rsidRPr="00D0629A">
              <w:rPr>
                <w:sz w:val="20"/>
                <w:szCs w:val="20"/>
                <w:lang w:val="uk-UA"/>
              </w:rPr>
              <w:br/>
              <w:t>динаміка кількості висадки квіткової розсади порівняно з попереднім роком, %</w:t>
            </w:r>
          </w:p>
        </w:tc>
      </w:tr>
    </w:tbl>
    <w:p w:rsidR="00D0629A" w:rsidRDefault="00552B1A" w:rsidP="00552B1A">
      <w:pPr>
        <w:spacing w:after="0" w:line="240" w:lineRule="auto"/>
        <w:ind w:firstLine="567"/>
        <w:jc w:val="both"/>
        <w:rPr>
          <w:rFonts w:ascii="Times New Roman" w:hAnsi="Times New Roman"/>
          <w:lang w:val="uk-UA"/>
        </w:rPr>
      </w:pPr>
      <w:r>
        <w:rPr>
          <w:rFonts w:ascii="Times New Roman" w:hAnsi="Times New Roman"/>
          <w:lang w:val="uk-UA"/>
        </w:rPr>
        <w:t>Крім того, Розпорядження</w:t>
      </w:r>
      <w:r w:rsidR="00815F43">
        <w:rPr>
          <w:rFonts w:ascii="Times New Roman" w:hAnsi="Times New Roman"/>
          <w:lang w:val="uk-UA"/>
        </w:rPr>
        <w:t>м</w:t>
      </w:r>
      <w:r>
        <w:rPr>
          <w:rFonts w:ascii="Times New Roman" w:hAnsi="Times New Roman"/>
          <w:lang w:val="uk-UA"/>
        </w:rPr>
        <w:t xml:space="preserve"> міського голови затверджена відповідна бюджетні програма </w:t>
      </w:r>
      <w:r w:rsidRPr="00552B1A">
        <w:rPr>
          <w:rFonts w:ascii="Times New Roman" w:hAnsi="Times New Roman"/>
          <w:lang w:val="uk-UA"/>
        </w:rPr>
        <w:t xml:space="preserve">КПКВК МБ 0116060 </w:t>
      </w:r>
      <w:r w:rsidR="00B00635">
        <w:rPr>
          <w:rFonts w:ascii="Times New Roman" w:hAnsi="Times New Roman"/>
          <w:lang w:val="uk-UA"/>
        </w:rPr>
        <w:t>«</w:t>
      </w:r>
      <w:r w:rsidRPr="00552B1A">
        <w:rPr>
          <w:rFonts w:ascii="Times New Roman" w:hAnsi="Times New Roman"/>
          <w:lang w:val="uk-UA"/>
        </w:rPr>
        <w:t>Благоустрій міст, сіл, селищ</w:t>
      </w:r>
      <w:r w:rsidR="00B00635">
        <w:rPr>
          <w:rFonts w:ascii="Times New Roman" w:hAnsi="Times New Roman"/>
          <w:lang w:val="uk-UA"/>
        </w:rPr>
        <w:t>»</w:t>
      </w:r>
      <w:r>
        <w:rPr>
          <w:rFonts w:ascii="Times New Roman" w:hAnsi="Times New Roman"/>
          <w:lang w:val="uk-UA"/>
        </w:rPr>
        <w:t xml:space="preserve">. </w:t>
      </w:r>
      <w:r w:rsidR="00D0629A">
        <w:rPr>
          <w:rFonts w:ascii="Times New Roman" w:hAnsi="Times New Roman"/>
          <w:lang w:val="uk-UA"/>
        </w:rPr>
        <w:t>Тобто заходи в</w:t>
      </w:r>
      <w:r>
        <w:rPr>
          <w:rFonts w:ascii="Times New Roman" w:hAnsi="Times New Roman"/>
          <w:lang w:val="uk-UA"/>
        </w:rPr>
        <w:t xml:space="preserve"> </w:t>
      </w:r>
      <w:r w:rsidR="00D0629A">
        <w:rPr>
          <w:rFonts w:ascii="Times New Roman" w:hAnsi="Times New Roman"/>
          <w:lang w:val="uk-UA"/>
        </w:rPr>
        <w:t>галузі благоустрою заплановані по двом бюджетним</w:t>
      </w:r>
      <w:r>
        <w:rPr>
          <w:rFonts w:ascii="Times New Roman" w:hAnsi="Times New Roman"/>
          <w:lang w:val="uk-UA"/>
        </w:rPr>
        <w:t xml:space="preserve"> програмам, що є неприпустимим та має ризик подвійного фінансування. </w:t>
      </w:r>
    </w:p>
    <w:p w:rsidR="00552B1A" w:rsidRDefault="00552B1A" w:rsidP="00552B1A">
      <w:pPr>
        <w:spacing w:after="0" w:line="240" w:lineRule="auto"/>
        <w:ind w:firstLine="567"/>
        <w:jc w:val="both"/>
        <w:rPr>
          <w:rFonts w:ascii="Times New Roman" w:hAnsi="Times New Roman"/>
          <w:lang w:val="uk-UA"/>
        </w:rPr>
      </w:pPr>
      <w:r>
        <w:rPr>
          <w:rFonts w:ascii="Times New Roman" w:hAnsi="Times New Roman"/>
          <w:lang w:val="uk-UA"/>
        </w:rPr>
        <w:t>В паспорті БП також повністю відсутній пакет результативних показників , що унеможливлює оцінити ефективність виконання бюджетної програми.</w:t>
      </w:r>
    </w:p>
    <w:p w:rsidR="00D0629A" w:rsidRDefault="00D0629A" w:rsidP="00383D85">
      <w:pPr>
        <w:spacing w:after="0" w:line="240" w:lineRule="auto"/>
        <w:rPr>
          <w:rFonts w:ascii="Times New Roman" w:hAnsi="Times New Roman"/>
          <w:lang w:val="uk-UA"/>
        </w:rPr>
      </w:pPr>
    </w:p>
    <w:p w:rsidR="00383D85" w:rsidRPr="00CF0EA5" w:rsidRDefault="00552B1A" w:rsidP="00552B1A">
      <w:pPr>
        <w:spacing w:after="0" w:line="240" w:lineRule="auto"/>
        <w:jc w:val="both"/>
        <w:rPr>
          <w:rFonts w:ascii="Times New Roman" w:hAnsi="Times New Roman"/>
          <w:lang w:val="uk-UA"/>
        </w:rPr>
      </w:pPr>
      <w:r>
        <w:rPr>
          <w:rFonts w:ascii="Times New Roman" w:hAnsi="Times New Roman"/>
          <w:lang w:val="uk-UA"/>
        </w:rPr>
        <w:t>Тому доцільно переглянути паспорти обох програм та вдосконалити перелік завдань, заходів та пакету результативних показників на предмет відповідності діючому законодавству а також пріоритетам соціально-економічного розвитку</w:t>
      </w:r>
      <w:r w:rsidR="00815F43">
        <w:rPr>
          <w:rFonts w:ascii="Times New Roman" w:hAnsi="Times New Roman"/>
          <w:lang w:val="uk-UA"/>
        </w:rPr>
        <w:t>.</w:t>
      </w:r>
    </w:p>
    <w:p w:rsidR="00F35975" w:rsidRPr="00CF0EA5" w:rsidRDefault="00F35975" w:rsidP="0087443B">
      <w:pPr>
        <w:spacing w:after="0" w:line="240" w:lineRule="auto"/>
        <w:rPr>
          <w:rFonts w:ascii="Times New Roman" w:hAnsi="Times New Roman"/>
          <w:lang w:val="uk-UA"/>
        </w:rPr>
      </w:pPr>
    </w:p>
    <w:p w:rsidR="009908E4" w:rsidRPr="00CF0EA5" w:rsidRDefault="009908E4" w:rsidP="0087443B">
      <w:pPr>
        <w:spacing w:after="0" w:line="240" w:lineRule="auto"/>
        <w:rPr>
          <w:rFonts w:ascii="Times New Roman" w:hAnsi="Times New Roman"/>
          <w:lang w:val="uk-UA"/>
        </w:rPr>
      </w:pPr>
    </w:p>
    <w:sectPr w:rsidR="009908E4" w:rsidRPr="00CF0EA5" w:rsidSect="00811F9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A1EBF"/>
    <w:multiLevelType w:val="hybridMultilevel"/>
    <w:tmpl w:val="C4B4B27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10"/>
  </w:num>
  <w:num w:numId="8">
    <w:abstractNumId w:val="6"/>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09CC"/>
    <w:rsid w:val="00082B94"/>
    <w:rsid w:val="000B30C2"/>
    <w:rsid w:val="001167EE"/>
    <w:rsid w:val="001E6D29"/>
    <w:rsid w:val="002279B4"/>
    <w:rsid w:val="002733BA"/>
    <w:rsid w:val="002A1409"/>
    <w:rsid w:val="002C186C"/>
    <w:rsid w:val="00383D85"/>
    <w:rsid w:val="003A1166"/>
    <w:rsid w:val="003B33C0"/>
    <w:rsid w:val="003C37F5"/>
    <w:rsid w:val="003E1353"/>
    <w:rsid w:val="004D2928"/>
    <w:rsid w:val="00527178"/>
    <w:rsid w:val="00552B1A"/>
    <w:rsid w:val="00553129"/>
    <w:rsid w:val="0057245E"/>
    <w:rsid w:val="006014FB"/>
    <w:rsid w:val="00604646"/>
    <w:rsid w:val="00626C4D"/>
    <w:rsid w:val="006409CC"/>
    <w:rsid w:val="0079102A"/>
    <w:rsid w:val="007A2C9C"/>
    <w:rsid w:val="007A2E64"/>
    <w:rsid w:val="007B48A0"/>
    <w:rsid w:val="00811F9C"/>
    <w:rsid w:val="00815F43"/>
    <w:rsid w:val="008270E8"/>
    <w:rsid w:val="0083763F"/>
    <w:rsid w:val="008409AD"/>
    <w:rsid w:val="00844C82"/>
    <w:rsid w:val="0087443B"/>
    <w:rsid w:val="00894214"/>
    <w:rsid w:val="0090262A"/>
    <w:rsid w:val="009908E4"/>
    <w:rsid w:val="00A7228F"/>
    <w:rsid w:val="00B00635"/>
    <w:rsid w:val="00BB1555"/>
    <w:rsid w:val="00BD0AF0"/>
    <w:rsid w:val="00C74C8A"/>
    <w:rsid w:val="00C869A3"/>
    <w:rsid w:val="00C92F36"/>
    <w:rsid w:val="00CA7633"/>
    <w:rsid w:val="00CF0EA5"/>
    <w:rsid w:val="00D0629A"/>
    <w:rsid w:val="00D162C0"/>
    <w:rsid w:val="00D5701A"/>
    <w:rsid w:val="00DA1F12"/>
    <w:rsid w:val="00DD1186"/>
    <w:rsid w:val="00DF1FEF"/>
    <w:rsid w:val="00E0554F"/>
    <w:rsid w:val="00E344A8"/>
    <w:rsid w:val="00EB12A8"/>
    <w:rsid w:val="00EE2253"/>
    <w:rsid w:val="00F263E8"/>
    <w:rsid w:val="00F35975"/>
    <w:rsid w:val="00F76A2C"/>
    <w:rsid w:val="00F94234"/>
    <w:rsid w:val="00FE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val="uk-UA"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s>
</file>

<file path=word/webSettings.xml><?xml version="1.0" encoding="utf-8"?>
<w:webSettings xmlns:r="http://schemas.openxmlformats.org/officeDocument/2006/relationships" xmlns:w="http://schemas.openxmlformats.org/wordprocessingml/2006/main">
  <w:divs>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8</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2017-07-11T11:39:00Z</dcterms:created>
  <dcterms:modified xsi:type="dcterms:W3CDTF">2017-10-23T10:24:00Z</dcterms:modified>
</cp:coreProperties>
</file>